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E7" w:rsidRDefault="004D36E7" w:rsidP="006C7EC2">
      <w:pPr>
        <w:pStyle w:val="Titleofthepaper"/>
        <w:spacing w:line="360" w:lineRule="auto"/>
        <w:rPr>
          <w:sz w:val="24"/>
          <w:szCs w:val="24"/>
          <w:lang w:val="pt-BR"/>
        </w:rPr>
      </w:pPr>
      <w:bookmarkStart w:id="0" w:name="Title_2"/>
      <w:r w:rsidRPr="007A7CAB">
        <w:rPr>
          <w:sz w:val="24"/>
          <w:szCs w:val="24"/>
          <w:lang w:val="pt-BR"/>
        </w:rPr>
        <w:t>Determinantes no Processo de Decisão do “Consumidor Verde”: estudo de caso da Energia eólica de Pequeno Porte</w:t>
      </w:r>
    </w:p>
    <w:p w:rsidR="006C7EC2" w:rsidRPr="00C86F5F" w:rsidRDefault="007B59B0" w:rsidP="0038766A">
      <w:pPr>
        <w:pStyle w:val="Titleofthepaper"/>
        <w:spacing w:line="360" w:lineRule="auto"/>
        <w:rPr>
          <w:sz w:val="24"/>
          <w:szCs w:val="24"/>
          <w:lang w:val="pt-BR"/>
        </w:rPr>
      </w:pPr>
      <w:r w:rsidRPr="00C86F5F">
        <w:rPr>
          <w:sz w:val="24"/>
          <w:szCs w:val="24"/>
          <w:lang w:val="pt-BR"/>
        </w:rPr>
        <w:t xml:space="preserve"> </w:t>
      </w:r>
      <w:bookmarkStart w:id="1" w:name="Author_1"/>
      <w:bookmarkEnd w:id="0"/>
      <w:r w:rsidR="004D36E7" w:rsidRPr="00C86F5F">
        <w:rPr>
          <w:sz w:val="24"/>
          <w:szCs w:val="24"/>
          <w:lang w:val="pt-BR"/>
        </w:rPr>
        <w:t>Marcio Giannini Pereira</w:t>
      </w:r>
      <w:r w:rsidR="006C7EC2" w:rsidRPr="00C86F5F">
        <w:rPr>
          <w:sz w:val="24"/>
          <w:szCs w:val="24"/>
          <w:vertAlign w:val="superscript"/>
          <w:lang w:val="pt-BR"/>
        </w:rPr>
        <w:t>1</w:t>
      </w:r>
      <w:r w:rsidR="006C7EC2" w:rsidRPr="00C86F5F">
        <w:rPr>
          <w:sz w:val="24"/>
          <w:szCs w:val="24"/>
          <w:lang w:val="pt-BR"/>
        </w:rPr>
        <w:t xml:space="preserve">, </w:t>
      </w:r>
      <w:bookmarkEnd w:id="1"/>
      <w:r w:rsidR="001B6E1B" w:rsidRPr="00C86F5F">
        <w:rPr>
          <w:sz w:val="24"/>
          <w:szCs w:val="24"/>
          <w:lang w:val="pt-BR"/>
        </w:rPr>
        <w:t>Bruno Montezano</w:t>
      </w:r>
      <w:r w:rsidR="001C3848" w:rsidRPr="00C86F5F">
        <w:rPr>
          <w:sz w:val="24"/>
          <w:szCs w:val="24"/>
          <w:vertAlign w:val="superscript"/>
          <w:lang w:val="pt-BR"/>
        </w:rPr>
        <w:t>2</w:t>
      </w:r>
    </w:p>
    <w:p w:rsidR="007B59B0" w:rsidRDefault="007B59B0" w:rsidP="001C3848">
      <w:pPr>
        <w:pStyle w:val="AuthorAffilliation"/>
        <w:numPr>
          <w:ilvl w:val="0"/>
          <w:numId w:val="5"/>
        </w:numPr>
        <w:spacing w:line="360" w:lineRule="auto"/>
        <w:rPr>
          <w:rFonts w:ascii="Arial" w:hAnsi="Arial"/>
          <w:lang w:val="pt-BR"/>
        </w:rPr>
      </w:pPr>
      <w:r w:rsidRPr="009E5095">
        <w:rPr>
          <w:rFonts w:ascii="Arial" w:hAnsi="Arial"/>
          <w:lang w:val="pt-BR"/>
        </w:rPr>
        <w:t xml:space="preserve">Centro de Pesquisas de Energia Elétrica (CEPEL), Av. Horácio de Macedo, N. 354- sala C-22 – </w:t>
      </w:r>
      <w:r>
        <w:rPr>
          <w:rFonts w:ascii="Arial" w:hAnsi="Arial"/>
          <w:lang w:val="pt-BR"/>
        </w:rPr>
        <w:t xml:space="preserve">Tel. (21) 2598-6137 – Fax: (21) 2598-6483, </w:t>
      </w:r>
      <w:r w:rsidRPr="009E5095">
        <w:rPr>
          <w:rFonts w:ascii="Arial" w:hAnsi="Arial"/>
          <w:lang w:val="pt-BR"/>
        </w:rPr>
        <w:t>Cidade Universitá</w:t>
      </w:r>
      <w:r>
        <w:rPr>
          <w:rFonts w:ascii="Arial" w:hAnsi="Arial"/>
          <w:lang w:val="pt-BR"/>
        </w:rPr>
        <w:t>ria – Ilha do Fundão,</w:t>
      </w:r>
    </w:p>
    <w:p w:rsidR="007B59B0" w:rsidRDefault="007B59B0" w:rsidP="001C3848">
      <w:pPr>
        <w:pStyle w:val="AuthorAffilliation"/>
        <w:spacing w:line="360" w:lineRule="auto"/>
        <w:rPr>
          <w:rFonts w:ascii="Arial" w:hAnsi="Arial"/>
          <w:lang w:val="pt-BR"/>
        </w:rPr>
      </w:pPr>
      <w:r>
        <w:rPr>
          <w:rFonts w:ascii="Arial" w:hAnsi="Arial"/>
          <w:lang w:val="pt-BR"/>
        </w:rPr>
        <w:t>CEP 21941</w:t>
      </w:r>
      <w:r w:rsidRPr="009E5095">
        <w:rPr>
          <w:rFonts w:ascii="Arial" w:hAnsi="Arial"/>
          <w:lang w:val="pt-BR"/>
        </w:rPr>
        <w:t>911, Rio de Janeiro, Brasil</w:t>
      </w:r>
      <w:r w:rsidR="001C3848" w:rsidRPr="001C3848">
        <w:rPr>
          <w:rFonts w:ascii="Arial" w:hAnsi="Arial"/>
          <w:lang w:val="pt-BR"/>
        </w:rPr>
        <w:t xml:space="preserve"> </w:t>
      </w:r>
      <w:r w:rsidR="001C3848">
        <w:rPr>
          <w:rFonts w:ascii="Arial" w:hAnsi="Arial"/>
          <w:lang w:val="pt-BR"/>
        </w:rPr>
        <w:t xml:space="preserve">E-mail: </w:t>
      </w:r>
      <w:hyperlink r:id="rId8" w:history="1">
        <w:r w:rsidR="001C3848" w:rsidRPr="00284AE0">
          <w:rPr>
            <w:rStyle w:val="Hyperlink"/>
            <w:rFonts w:ascii="Arial" w:hAnsi="Arial"/>
            <w:lang w:val="pt-BR"/>
          </w:rPr>
          <w:t>giannini@cepel.br</w:t>
        </w:r>
      </w:hyperlink>
    </w:p>
    <w:p w:rsidR="007B59B0" w:rsidRPr="006E14E3" w:rsidRDefault="00D82C58" w:rsidP="001C3848">
      <w:pPr>
        <w:pStyle w:val="AuthorAffilliation"/>
        <w:numPr>
          <w:ilvl w:val="0"/>
          <w:numId w:val="5"/>
        </w:numPr>
        <w:spacing w:line="360" w:lineRule="auto"/>
        <w:rPr>
          <w:rFonts w:ascii="Arial" w:hAnsi="Arial"/>
          <w:lang w:val="pt-BR"/>
        </w:rPr>
      </w:pPr>
      <w:r w:rsidRPr="006E14E3">
        <w:rPr>
          <w:rFonts w:ascii="Arial" w:hAnsi="Arial"/>
          <w:lang w:val="pt-BR"/>
        </w:rPr>
        <w:t>IBMEC</w:t>
      </w:r>
      <w:r w:rsidR="00445856">
        <w:rPr>
          <w:rStyle w:val="Refdenotaderodap"/>
          <w:rFonts w:ascii="Arial" w:hAnsi="Arial"/>
          <w:lang w:val="pt-BR"/>
        </w:rPr>
        <w:footnoteReference w:id="1"/>
      </w:r>
      <w:r w:rsidR="001C3848" w:rsidRPr="006E14E3">
        <w:rPr>
          <w:rFonts w:ascii="Arial" w:hAnsi="Arial"/>
          <w:lang w:val="pt-BR"/>
        </w:rPr>
        <w:t>, Av. Pres. Wilson, 118</w:t>
      </w:r>
      <w:bookmarkStart w:id="2" w:name="_GoBack"/>
      <w:bookmarkEnd w:id="2"/>
      <w:r w:rsidR="001C3848" w:rsidRPr="006E14E3">
        <w:rPr>
          <w:rFonts w:ascii="Arial" w:hAnsi="Arial"/>
          <w:lang w:val="pt-BR"/>
        </w:rPr>
        <w:t>, CEP 20030-020, Rio de Janeiro, Brasil</w:t>
      </w:r>
      <w:r w:rsidR="006E14E3">
        <w:rPr>
          <w:rFonts w:ascii="Arial" w:hAnsi="Arial"/>
          <w:lang w:val="pt-BR"/>
        </w:rPr>
        <w:t xml:space="preserve"> </w:t>
      </w:r>
      <w:r w:rsidR="001C3848" w:rsidRPr="006E14E3">
        <w:rPr>
          <w:rFonts w:ascii="Arial" w:hAnsi="Arial"/>
          <w:lang w:val="pt-BR"/>
        </w:rPr>
        <w:t>E-mail:</w:t>
      </w:r>
      <w:r w:rsidR="007B59B0" w:rsidRPr="006E14E3">
        <w:rPr>
          <w:rFonts w:ascii="Arial" w:hAnsi="Arial"/>
          <w:lang w:val="pt-BR"/>
        </w:rPr>
        <w:t xml:space="preserve"> </w:t>
      </w:r>
      <w:hyperlink r:id="rId9" w:history="1">
        <w:r w:rsidR="007B59B0" w:rsidRPr="006E14E3">
          <w:rPr>
            <w:rStyle w:val="Hyperlink"/>
            <w:rFonts w:ascii="Arial" w:hAnsi="Arial"/>
            <w:lang w:val="pt-BR"/>
          </w:rPr>
          <w:t>brunomontezano@yahoo.com.br</w:t>
        </w:r>
      </w:hyperlink>
    </w:p>
    <w:p w:rsidR="006C7EC2" w:rsidRPr="00D84D1C" w:rsidRDefault="00D90B1D" w:rsidP="006C7EC2">
      <w:pPr>
        <w:pStyle w:val="HeaderAbs"/>
        <w:spacing w:line="360" w:lineRule="auto"/>
        <w:rPr>
          <w:lang w:val="pt-BR"/>
        </w:rPr>
      </w:pPr>
      <w:r w:rsidRPr="00D84D1C">
        <w:rPr>
          <w:lang w:val="pt-BR"/>
        </w:rPr>
        <w:t xml:space="preserve">rESUMO </w:t>
      </w:r>
    </w:p>
    <w:p w:rsidR="00D84D1C" w:rsidRPr="000A584E" w:rsidRDefault="00572254" w:rsidP="00D84D1C">
      <w:pPr>
        <w:spacing w:after="120" w:line="360" w:lineRule="auto"/>
        <w:jc w:val="both"/>
        <w:rPr>
          <w:rStyle w:val="apple-style-span"/>
          <w:color w:val="000000"/>
          <w:szCs w:val="24"/>
          <w:lang w:eastAsia="it-IT"/>
        </w:rPr>
      </w:pPr>
      <w:r>
        <w:rPr>
          <w:rStyle w:val="apple-style-span"/>
          <w:color w:val="000000"/>
          <w:szCs w:val="24"/>
          <w:lang w:eastAsia="it-IT"/>
        </w:rPr>
        <w:t>O</w:t>
      </w:r>
      <w:r w:rsidR="00D84D1C" w:rsidRPr="000A584E">
        <w:rPr>
          <w:rStyle w:val="apple-style-span"/>
          <w:color w:val="000000"/>
          <w:szCs w:val="24"/>
          <w:lang w:eastAsia="it-IT"/>
        </w:rPr>
        <w:t xml:space="preserve"> objetivo deste artigo é apresentar um panorama da Teoria do Comportamento do Consumidor sob a perspectiva da sustentabilidade (</w:t>
      </w:r>
      <w:r w:rsidR="00D84D1C" w:rsidRPr="000A584E">
        <w:rPr>
          <w:rStyle w:val="apple-style-span"/>
          <w:i/>
          <w:color w:val="000000"/>
          <w:szCs w:val="24"/>
          <w:lang w:eastAsia="it-IT"/>
        </w:rPr>
        <w:t xml:space="preserve">Green </w:t>
      </w:r>
      <w:proofErr w:type="spellStart"/>
      <w:r w:rsidR="00D84D1C" w:rsidRPr="000A584E">
        <w:rPr>
          <w:rStyle w:val="apple-style-span"/>
          <w:i/>
          <w:color w:val="000000"/>
          <w:szCs w:val="24"/>
          <w:lang w:eastAsia="it-IT"/>
        </w:rPr>
        <w:t>Consumer</w:t>
      </w:r>
      <w:proofErr w:type="spellEnd"/>
      <w:r w:rsidR="00D84D1C" w:rsidRPr="000A584E">
        <w:rPr>
          <w:rStyle w:val="apple-style-span"/>
          <w:color w:val="000000"/>
          <w:szCs w:val="24"/>
          <w:lang w:eastAsia="it-IT"/>
        </w:rPr>
        <w:t xml:space="preserve">) tendo como foco a tecnologia de aerogeradores de pequeno porte, fazendo </w:t>
      </w:r>
      <w:r w:rsidR="000A584E" w:rsidRPr="000A584E">
        <w:rPr>
          <w:rStyle w:val="apple-style-span"/>
          <w:color w:val="000000"/>
          <w:szCs w:val="24"/>
          <w:lang w:eastAsia="it-IT"/>
        </w:rPr>
        <w:t xml:space="preserve">uso </w:t>
      </w:r>
      <w:r w:rsidR="00D84D1C" w:rsidRPr="000A584E">
        <w:rPr>
          <w:rStyle w:val="apple-style-span"/>
          <w:color w:val="000000"/>
          <w:szCs w:val="24"/>
          <w:lang w:eastAsia="it-IT"/>
        </w:rPr>
        <w:t xml:space="preserve">de </w:t>
      </w:r>
      <w:proofErr w:type="spellStart"/>
      <w:r w:rsidR="000A584E" w:rsidRPr="000A584E">
        <w:rPr>
          <w:rStyle w:val="apple-style-span"/>
          <w:i/>
          <w:color w:val="000000"/>
          <w:szCs w:val="24"/>
          <w:lang w:eastAsia="it-IT"/>
        </w:rPr>
        <w:t>survey</w:t>
      </w:r>
      <w:proofErr w:type="spellEnd"/>
      <w:r w:rsidR="000A584E" w:rsidRPr="000A584E">
        <w:rPr>
          <w:rStyle w:val="apple-style-span"/>
          <w:color w:val="000000"/>
          <w:szCs w:val="24"/>
          <w:lang w:eastAsia="it-IT"/>
        </w:rPr>
        <w:t xml:space="preserve"> </w:t>
      </w:r>
      <w:r w:rsidR="00C5523D">
        <w:rPr>
          <w:rStyle w:val="apple-style-span"/>
          <w:color w:val="000000"/>
          <w:szCs w:val="24"/>
          <w:lang w:eastAsia="it-IT"/>
        </w:rPr>
        <w:t>(2</w:t>
      </w:r>
      <w:r w:rsidR="00875D52">
        <w:rPr>
          <w:rStyle w:val="apple-style-span"/>
          <w:color w:val="000000"/>
          <w:szCs w:val="24"/>
          <w:lang w:eastAsia="it-IT"/>
        </w:rPr>
        <w:t>42</w:t>
      </w:r>
      <w:r w:rsidR="00C5523D">
        <w:rPr>
          <w:rStyle w:val="apple-style-span"/>
          <w:color w:val="000000"/>
          <w:szCs w:val="24"/>
          <w:lang w:eastAsia="it-IT"/>
        </w:rPr>
        <w:t xml:space="preserve"> questionários) </w:t>
      </w:r>
      <w:r w:rsidR="00D84D1C" w:rsidRPr="000A584E">
        <w:rPr>
          <w:rStyle w:val="apple-style-span"/>
          <w:color w:val="000000"/>
          <w:szCs w:val="24"/>
          <w:lang w:eastAsia="it-IT"/>
        </w:rPr>
        <w:t xml:space="preserve">junto aos potenciais </w:t>
      </w:r>
      <w:r w:rsidR="000A584E" w:rsidRPr="000A584E">
        <w:rPr>
          <w:rStyle w:val="apple-style-span"/>
          <w:color w:val="000000"/>
          <w:szCs w:val="24"/>
          <w:lang w:eastAsia="it-IT"/>
        </w:rPr>
        <w:t xml:space="preserve">consumidores, </w:t>
      </w:r>
      <w:r w:rsidR="00D84D1C" w:rsidRPr="000A584E">
        <w:rPr>
          <w:rStyle w:val="apple-style-span"/>
          <w:color w:val="000000"/>
          <w:szCs w:val="24"/>
          <w:lang w:eastAsia="it-IT"/>
        </w:rPr>
        <w:t>identificando suas principais características, oportunidades e desafios</w:t>
      </w:r>
      <w:r w:rsidR="000A584E" w:rsidRPr="000A584E">
        <w:rPr>
          <w:rStyle w:val="apple-style-span"/>
          <w:color w:val="000000"/>
          <w:szCs w:val="24"/>
          <w:lang w:eastAsia="it-IT"/>
        </w:rPr>
        <w:t xml:space="preserve">. </w:t>
      </w:r>
      <w:r w:rsidR="00C5523D">
        <w:rPr>
          <w:rStyle w:val="apple-style-span"/>
          <w:color w:val="000000"/>
          <w:szCs w:val="24"/>
          <w:lang w:eastAsia="it-IT"/>
        </w:rPr>
        <w:t xml:space="preserve">Neste sentido, este artigo apresenta os principais </w:t>
      </w:r>
      <w:r w:rsidR="00285C25">
        <w:rPr>
          <w:rStyle w:val="apple-style-span"/>
          <w:color w:val="000000"/>
          <w:szCs w:val="24"/>
          <w:lang w:eastAsia="it-IT"/>
        </w:rPr>
        <w:t xml:space="preserve">determinantes </w:t>
      </w:r>
      <w:r w:rsidR="00C5523D">
        <w:rPr>
          <w:rStyle w:val="apple-style-span"/>
          <w:color w:val="000000"/>
          <w:szCs w:val="24"/>
          <w:lang w:eastAsia="it-IT"/>
        </w:rPr>
        <w:t xml:space="preserve">do consumidor verde associados </w:t>
      </w:r>
      <w:r w:rsidR="00875D52">
        <w:rPr>
          <w:rStyle w:val="apple-style-span"/>
          <w:color w:val="000000"/>
          <w:szCs w:val="24"/>
          <w:lang w:eastAsia="it-IT"/>
        </w:rPr>
        <w:t>à</w:t>
      </w:r>
      <w:r w:rsidR="00C5523D">
        <w:rPr>
          <w:rStyle w:val="apple-style-span"/>
          <w:color w:val="000000"/>
          <w:szCs w:val="24"/>
          <w:lang w:eastAsia="it-IT"/>
        </w:rPr>
        <w:t xml:space="preserve"> energia eólica de pequeno porte no Brasil, subsidiando, assim, a formulação de estratégias mais assertivas de fomento ao mercado</w:t>
      </w:r>
      <w:r w:rsidR="00C5523D" w:rsidRPr="00445856">
        <w:rPr>
          <w:rStyle w:val="apple-style-span"/>
          <w:color w:val="000000"/>
          <w:szCs w:val="24"/>
          <w:lang w:eastAsia="it-IT"/>
        </w:rPr>
        <w:t xml:space="preserve">. Na </w:t>
      </w:r>
      <w:r w:rsidR="00D84D1C" w:rsidRPr="00445856">
        <w:rPr>
          <w:rStyle w:val="apple-style-span"/>
          <w:color w:val="000000"/>
          <w:szCs w:val="24"/>
          <w:lang w:eastAsia="it-IT"/>
        </w:rPr>
        <w:t xml:space="preserve">seção II é apresentado </w:t>
      </w:r>
      <w:r w:rsidR="000A584E" w:rsidRPr="00445856">
        <w:rPr>
          <w:rStyle w:val="apple-style-span"/>
          <w:color w:val="000000"/>
          <w:szCs w:val="24"/>
          <w:lang w:eastAsia="it-IT"/>
        </w:rPr>
        <w:t>um painel da Teoria do Comportamento do Consumidor sob a perspectiva da sustentabilidade. Na sessão III</w:t>
      </w:r>
      <w:r w:rsidR="00D84D1C" w:rsidRPr="00445856">
        <w:rPr>
          <w:rStyle w:val="apple-style-span"/>
          <w:color w:val="000000"/>
          <w:szCs w:val="24"/>
          <w:lang w:eastAsia="it-IT"/>
        </w:rPr>
        <w:t xml:space="preserve"> são pontuadas as principa</w:t>
      </w:r>
      <w:r w:rsidR="000A584E" w:rsidRPr="00445856">
        <w:rPr>
          <w:rStyle w:val="apple-style-span"/>
          <w:color w:val="000000"/>
          <w:szCs w:val="24"/>
          <w:lang w:eastAsia="it-IT"/>
        </w:rPr>
        <w:t>is questões metodológicas d</w:t>
      </w:r>
      <w:r w:rsidR="00D84D1C" w:rsidRPr="00445856">
        <w:rPr>
          <w:rStyle w:val="apple-style-span"/>
          <w:color w:val="000000"/>
          <w:szCs w:val="24"/>
          <w:lang w:eastAsia="it-IT"/>
        </w:rPr>
        <w:t>a modelagem</w:t>
      </w:r>
      <w:r w:rsidR="000A584E" w:rsidRPr="00445856">
        <w:rPr>
          <w:rStyle w:val="apple-style-span"/>
          <w:color w:val="000000"/>
          <w:szCs w:val="24"/>
          <w:lang w:eastAsia="it-IT"/>
        </w:rPr>
        <w:t xml:space="preserve"> e de pesquisa</w:t>
      </w:r>
      <w:r w:rsidR="00D84D1C" w:rsidRPr="00445856">
        <w:rPr>
          <w:rStyle w:val="apple-style-span"/>
          <w:color w:val="000000"/>
          <w:szCs w:val="24"/>
          <w:lang w:eastAsia="it-IT"/>
        </w:rPr>
        <w:t xml:space="preserve"> para estudo</w:t>
      </w:r>
      <w:r w:rsidR="000A584E" w:rsidRPr="00445856">
        <w:rPr>
          <w:rStyle w:val="apple-style-span"/>
          <w:color w:val="000000"/>
          <w:szCs w:val="24"/>
          <w:lang w:eastAsia="it-IT"/>
        </w:rPr>
        <w:t xml:space="preserve"> e sua respectiva análise</w:t>
      </w:r>
      <w:r w:rsidR="00D84D1C" w:rsidRPr="00445856">
        <w:rPr>
          <w:rStyle w:val="apple-style-span"/>
          <w:color w:val="000000"/>
          <w:szCs w:val="24"/>
          <w:lang w:eastAsia="it-IT"/>
        </w:rPr>
        <w:t xml:space="preserve">. Por fim, na seção </w:t>
      </w:r>
      <w:r w:rsidR="00445856" w:rsidRPr="00445856">
        <w:rPr>
          <w:rStyle w:val="apple-style-span"/>
          <w:color w:val="000000"/>
          <w:szCs w:val="24"/>
          <w:lang w:eastAsia="it-IT"/>
        </w:rPr>
        <w:t>I</w:t>
      </w:r>
      <w:r w:rsidR="00D84D1C" w:rsidRPr="00445856">
        <w:rPr>
          <w:rStyle w:val="apple-style-span"/>
          <w:color w:val="000000"/>
          <w:szCs w:val="24"/>
          <w:lang w:eastAsia="it-IT"/>
        </w:rPr>
        <w:t xml:space="preserve">V são </w:t>
      </w:r>
      <w:r w:rsidR="000A584E" w:rsidRPr="00445856">
        <w:rPr>
          <w:rStyle w:val="apple-style-span"/>
          <w:color w:val="000000"/>
          <w:szCs w:val="24"/>
          <w:lang w:eastAsia="it-IT"/>
        </w:rPr>
        <w:t xml:space="preserve">apresentadas </w:t>
      </w:r>
      <w:r w:rsidR="00D84D1C" w:rsidRPr="00445856">
        <w:rPr>
          <w:rStyle w:val="apple-style-span"/>
          <w:color w:val="000000"/>
          <w:szCs w:val="24"/>
          <w:lang w:eastAsia="it-IT"/>
        </w:rPr>
        <w:t>as conclusõ</w:t>
      </w:r>
      <w:r w:rsidR="000A584E" w:rsidRPr="00445856">
        <w:rPr>
          <w:rStyle w:val="apple-style-span"/>
          <w:color w:val="000000"/>
          <w:szCs w:val="24"/>
          <w:lang w:eastAsia="it-IT"/>
        </w:rPr>
        <w:t xml:space="preserve">es e recomendações </w:t>
      </w:r>
      <w:r w:rsidR="00D84D1C" w:rsidRPr="00445856">
        <w:rPr>
          <w:rStyle w:val="apple-style-span"/>
          <w:color w:val="000000"/>
          <w:szCs w:val="24"/>
          <w:lang w:eastAsia="it-IT"/>
        </w:rPr>
        <w:t>do estudo.</w:t>
      </w:r>
    </w:p>
    <w:p w:rsidR="007B59B0" w:rsidRPr="007B59B0" w:rsidRDefault="007B59B0" w:rsidP="007B59B0">
      <w:pPr>
        <w:spacing w:after="120" w:line="360" w:lineRule="auto"/>
        <w:jc w:val="both"/>
        <w:rPr>
          <w:i/>
        </w:rPr>
      </w:pPr>
      <w:r w:rsidRPr="00D90B1D">
        <w:rPr>
          <w:b/>
        </w:rPr>
        <w:t>Palavras-chave</w:t>
      </w:r>
      <w:r w:rsidR="006C7EC2" w:rsidRPr="007B59B0">
        <w:rPr>
          <w:i/>
        </w:rPr>
        <w:t xml:space="preserve">: </w:t>
      </w:r>
      <w:r w:rsidR="004D36E7">
        <w:rPr>
          <w:i/>
        </w:rPr>
        <w:t xml:space="preserve">Consumidor verde; Sustentabilidade; </w:t>
      </w:r>
      <w:r w:rsidR="001C3848">
        <w:rPr>
          <w:i/>
        </w:rPr>
        <w:t>Energia Eólica de Pequeno Porte</w:t>
      </w:r>
      <w:r w:rsidR="00ED21D2">
        <w:rPr>
          <w:i/>
        </w:rPr>
        <w:t xml:space="preserve">; </w:t>
      </w:r>
    </w:p>
    <w:p w:rsidR="006C7EC2" w:rsidRPr="000D115C" w:rsidRDefault="008C3811" w:rsidP="008C3811">
      <w:pPr>
        <w:pStyle w:val="Ttulo1"/>
        <w:rPr>
          <w:lang w:val="en-GB"/>
        </w:rPr>
      </w:pPr>
      <w:r w:rsidRPr="008C3811">
        <w:t>Introdução</w:t>
      </w:r>
    </w:p>
    <w:p w:rsidR="000B3235" w:rsidRPr="000B3235" w:rsidRDefault="000B3235" w:rsidP="008C3811">
      <w:pPr>
        <w:pStyle w:val="para"/>
        <w:rPr>
          <w:rStyle w:val="apple-style-span"/>
          <w:rFonts w:eastAsia="Times"/>
          <w:color w:val="000000"/>
          <w:szCs w:val="24"/>
          <w:lang w:eastAsia="it-IT"/>
        </w:rPr>
      </w:pPr>
      <w:r w:rsidRPr="000B3235">
        <w:rPr>
          <w:rStyle w:val="apple-style-span"/>
          <w:rFonts w:eastAsia="Times"/>
          <w:color w:val="000000"/>
          <w:szCs w:val="24"/>
          <w:lang w:eastAsia="it-IT"/>
        </w:rPr>
        <w:t xml:space="preserve">A matriz elétrica brasileira é constituída majoritariamente por energia renovável, havendo uma </w:t>
      </w:r>
      <w:r w:rsidRPr="008C3811">
        <w:rPr>
          <w:rStyle w:val="apple-style-span"/>
          <w:rFonts w:cstheme="minorBidi"/>
        </w:rPr>
        <w:t>perspectiva</w:t>
      </w:r>
      <w:r w:rsidRPr="000B3235">
        <w:rPr>
          <w:rStyle w:val="apple-style-span"/>
          <w:rFonts w:eastAsia="Times"/>
          <w:color w:val="000000"/>
          <w:szCs w:val="24"/>
          <w:lang w:eastAsia="it-IT"/>
        </w:rPr>
        <w:t xml:space="preserve"> de crescimento continuado da energia eólica </w:t>
      </w:r>
      <w:r>
        <w:rPr>
          <w:rStyle w:val="apple-style-span"/>
          <w:rFonts w:eastAsia="Times"/>
          <w:color w:val="000000"/>
          <w:szCs w:val="24"/>
          <w:lang w:eastAsia="it-IT"/>
        </w:rPr>
        <w:t xml:space="preserve">de grande porte </w:t>
      </w:r>
      <w:r w:rsidRPr="000B3235">
        <w:rPr>
          <w:rStyle w:val="apple-style-span"/>
          <w:rFonts w:eastAsia="Times"/>
          <w:color w:val="000000"/>
          <w:szCs w:val="24"/>
          <w:lang w:eastAsia="it-IT"/>
        </w:rPr>
        <w:t xml:space="preserve">para os próximos anos. Destaca-se que a energia eólica entrou num ciclo virtuoso de crescimento em anos </w:t>
      </w:r>
      <w:r w:rsidRPr="00E14EF1">
        <w:rPr>
          <w:rStyle w:val="apple-style-span"/>
          <w:rFonts w:eastAsia="Times"/>
          <w:color w:val="000000"/>
          <w:szCs w:val="24"/>
          <w:lang w:eastAsia="it-IT"/>
        </w:rPr>
        <w:t xml:space="preserve">recentes no país, atingindo em 2015 a participação em capacidade instalada de 5,4% da matriz elétrica </w:t>
      </w:r>
      <w:sdt>
        <w:sdtPr>
          <w:rPr>
            <w:rStyle w:val="apple-style-span"/>
            <w:rFonts w:eastAsia="Times"/>
            <w:color w:val="000000"/>
            <w:szCs w:val="24"/>
            <w:lang w:eastAsia="it-IT"/>
          </w:rPr>
          <w:id w:val="160430447"/>
          <w:citation/>
        </w:sdtPr>
        <w:sdtContent>
          <w:r w:rsidR="00940D78" w:rsidRPr="00E14EF1">
            <w:rPr>
              <w:rStyle w:val="apple-style-span"/>
              <w:rFonts w:eastAsia="Times"/>
              <w:color w:val="000000"/>
              <w:szCs w:val="24"/>
              <w:lang w:eastAsia="it-IT"/>
            </w:rPr>
            <w:fldChar w:fldCharType="begin"/>
          </w:r>
          <w:r w:rsidR="00E5223E" w:rsidRPr="00E14EF1">
            <w:rPr>
              <w:rStyle w:val="apple-style-span"/>
              <w:color w:val="000000"/>
              <w:szCs w:val="24"/>
              <w:lang w:eastAsia="it-IT"/>
            </w:rPr>
            <w:instrText xml:space="preserve"> CITATION EPE16 \l 1046 </w:instrText>
          </w:r>
          <w:r w:rsidR="00940D78" w:rsidRPr="00E14EF1">
            <w:rPr>
              <w:rStyle w:val="apple-style-span"/>
              <w:rFonts w:eastAsia="Times"/>
              <w:color w:val="000000"/>
              <w:szCs w:val="24"/>
              <w:lang w:eastAsia="it-IT"/>
            </w:rPr>
            <w:fldChar w:fldCharType="separate"/>
          </w:r>
          <w:r w:rsidR="00D96765" w:rsidRPr="00D96765">
            <w:rPr>
              <w:rFonts w:cs="Times New Roman"/>
              <w:noProof/>
              <w:color w:val="000000"/>
              <w:szCs w:val="24"/>
              <w:lang w:eastAsia="it-IT"/>
            </w:rPr>
            <w:t>[</w:t>
          </w:r>
          <w:hyperlink w:anchor="EPE16" w:history="1">
            <w:r w:rsidR="00D96765" w:rsidRPr="00D96765">
              <w:rPr>
                <w:rFonts w:cs="Times New Roman"/>
                <w:noProof/>
                <w:color w:val="000000"/>
                <w:szCs w:val="24"/>
                <w:lang w:eastAsia="it-IT"/>
              </w:rPr>
              <w:t>1</w:t>
            </w:r>
          </w:hyperlink>
          <w:r w:rsidR="00D96765" w:rsidRPr="00D96765">
            <w:rPr>
              <w:rFonts w:cs="Times New Roman"/>
              <w:noProof/>
              <w:color w:val="000000"/>
              <w:szCs w:val="24"/>
              <w:lang w:eastAsia="it-IT"/>
            </w:rPr>
            <w:t>]</w:t>
          </w:r>
          <w:r w:rsidR="00940D78" w:rsidRPr="00E14EF1">
            <w:rPr>
              <w:rStyle w:val="apple-style-span"/>
              <w:rFonts w:eastAsia="Times"/>
              <w:color w:val="000000"/>
              <w:szCs w:val="24"/>
              <w:lang w:eastAsia="it-IT"/>
            </w:rPr>
            <w:fldChar w:fldCharType="end"/>
          </w:r>
        </w:sdtContent>
      </w:sdt>
      <w:r w:rsidR="0038766A" w:rsidRPr="00E14EF1">
        <w:rPr>
          <w:rStyle w:val="apple-style-span"/>
          <w:color w:val="000000"/>
          <w:szCs w:val="24"/>
          <w:lang w:eastAsia="it-IT"/>
        </w:rPr>
        <w:t xml:space="preserve">, </w:t>
      </w:r>
      <w:r w:rsidRPr="00E14EF1">
        <w:rPr>
          <w:rStyle w:val="apple-style-span"/>
          <w:rFonts w:eastAsia="Times"/>
          <w:color w:val="000000"/>
          <w:szCs w:val="24"/>
          <w:lang w:eastAsia="it-IT"/>
        </w:rPr>
        <w:t>com</w:t>
      </w:r>
      <w:r w:rsidRPr="000B3235">
        <w:rPr>
          <w:rStyle w:val="apple-style-span"/>
          <w:rFonts w:eastAsia="Times"/>
          <w:color w:val="000000"/>
          <w:szCs w:val="24"/>
          <w:lang w:eastAsia="it-IT"/>
        </w:rPr>
        <w:t xml:space="preserve"> 7.630 MW. Soma-se, ainda, a perspectiva de continuidade de crescimento desta </w:t>
      </w:r>
      <w:r w:rsidRPr="000B3235">
        <w:rPr>
          <w:rStyle w:val="apple-style-span"/>
          <w:rFonts w:eastAsia="Times"/>
          <w:color w:val="000000"/>
          <w:szCs w:val="24"/>
          <w:lang w:eastAsia="it-IT"/>
        </w:rPr>
        <w:lastRenderedPageBreak/>
        <w:t>fonte para os próximos anos, sendo projetado atingir 17.951 MW de capacidade instalada em 2020.</w:t>
      </w:r>
    </w:p>
    <w:p w:rsidR="000B3235" w:rsidRDefault="000B3235" w:rsidP="000B3235">
      <w:pPr>
        <w:pStyle w:val="para"/>
        <w:rPr>
          <w:rStyle w:val="apple-style-span"/>
          <w:rFonts w:eastAsia="Times"/>
          <w:color w:val="000000"/>
          <w:szCs w:val="24"/>
          <w:lang w:eastAsia="it-IT"/>
        </w:rPr>
      </w:pPr>
      <w:r w:rsidRPr="000B3235">
        <w:rPr>
          <w:rStyle w:val="apple-style-span"/>
          <w:rFonts w:eastAsia="Times"/>
          <w:color w:val="000000"/>
          <w:szCs w:val="24"/>
          <w:lang w:eastAsia="it-IT"/>
        </w:rPr>
        <w:t>Os desafios presentes na expansão da oferta de energia no Brasil e no mundo, sob a ótica da sustentabilidade têm como pano de fundo que as tecnologias de “baixo carbono” são os elementos chave para se atingir as metas de redução de emissão dos gases do efeito estufa</w:t>
      </w:r>
      <w:r w:rsidR="00F94056">
        <w:rPr>
          <w:rStyle w:val="apple-style-span"/>
          <w:rFonts w:eastAsia="Times"/>
          <w:color w:val="000000"/>
          <w:szCs w:val="24"/>
          <w:lang w:eastAsia="it-IT"/>
        </w:rPr>
        <w:t xml:space="preserve"> (GEE)</w:t>
      </w:r>
      <w:r w:rsidRPr="000B3235">
        <w:rPr>
          <w:rStyle w:val="apple-style-span"/>
          <w:rFonts w:eastAsia="Times"/>
          <w:color w:val="000000"/>
          <w:szCs w:val="24"/>
          <w:lang w:eastAsia="it-IT"/>
        </w:rPr>
        <w:t xml:space="preserve">. </w:t>
      </w:r>
    </w:p>
    <w:p w:rsidR="00C84E9E" w:rsidRDefault="00C84E9E" w:rsidP="000B3235">
      <w:pPr>
        <w:pStyle w:val="para"/>
        <w:rPr>
          <w:rStyle w:val="apple-style-span"/>
          <w:rFonts w:eastAsia="Times"/>
          <w:color w:val="000000"/>
          <w:szCs w:val="24"/>
          <w:lang w:eastAsia="it-IT"/>
        </w:rPr>
      </w:pPr>
      <w:r w:rsidRPr="00C84E9E">
        <w:rPr>
          <w:rStyle w:val="apple-style-span"/>
          <w:rFonts w:eastAsia="Times"/>
          <w:color w:val="000000"/>
          <w:szCs w:val="24"/>
          <w:lang w:eastAsia="it-IT"/>
        </w:rPr>
        <w:t>A produção e uso de energia respondem por cerca de 70% dos GEE emitidos no planeta. Desta forma, o plane</w:t>
      </w:r>
      <w:r w:rsidR="00ED68D9">
        <w:rPr>
          <w:rStyle w:val="apple-style-span"/>
          <w:rFonts w:eastAsia="Times"/>
          <w:color w:val="000000"/>
          <w:szCs w:val="24"/>
          <w:lang w:eastAsia="it-IT"/>
        </w:rPr>
        <w:t xml:space="preserve">jamento da expansão da oferta de energia </w:t>
      </w:r>
      <w:r w:rsidRPr="00C84E9E">
        <w:rPr>
          <w:rStyle w:val="apple-style-span"/>
          <w:rFonts w:eastAsia="Times"/>
          <w:color w:val="000000"/>
          <w:szCs w:val="24"/>
          <w:lang w:eastAsia="it-IT"/>
        </w:rPr>
        <w:t>possui vínculos es</w:t>
      </w:r>
      <w:r w:rsidR="00ED68D9">
        <w:rPr>
          <w:rStyle w:val="apple-style-span"/>
          <w:rFonts w:eastAsia="Times"/>
          <w:color w:val="000000"/>
          <w:szCs w:val="24"/>
          <w:lang w:eastAsia="it-IT"/>
        </w:rPr>
        <w:t>treitos com a mudança climática</w:t>
      </w:r>
      <w:r w:rsidRPr="00C84E9E">
        <w:rPr>
          <w:rStyle w:val="apple-style-span"/>
          <w:rFonts w:eastAsia="Times"/>
          <w:color w:val="000000"/>
          <w:szCs w:val="24"/>
          <w:lang w:eastAsia="it-IT"/>
        </w:rPr>
        <w:t>. Pesquisas indicam que os efeitos das mudanças climáticas estão se acelerando e tornando-se mais intensos, sendo, ainda, que o aquecimento global pode ser significativamente maior do que projetado e suas consequências mais severas e irreversíveis</w:t>
      </w:r>
      <w:r w:rsidR="00294D9D">
        <w:rPr>
          <w:rStyle w:val="apple-style-span"/>
          <w:rFonts w:eastAsia="Times"/>
          <w:color w:val="000000"/>
          <w:szCs w:val="24"/>
          <w:lang w:eastAsia="it-IT"/>
        </w:rPr>
        <w:t>.</w:t>
      </w:r>
    </w:p>
    <w:p w:rsidR="00F94056" w:rsidRDefault="00F94056" w:rsidP="00F94056">
      <w:pPr>
        <w:pStyle w:val="para"/>
        <w:rPr>
          <w:rStyle w:val="apple-style-span"/>
          <w:rFonts w:eastAsia="Times"/>
          <w:color w:val="000000"/>
          <w:szCs w:val="24"/>
          <w:lang w:eastAsia="it-IT"/>
        </w:rPr>
      </w:pPr>
      <w:r>
        <w:rPr>
          <w:rStyle w:val="apple-style-span"/>
          <w:rFonts w:eastAsia="Times"/>
          <w:color w:val="000000"/>
          <w:szCs w:val="24"/>
          <w:lang w:eastAsia="it-IT"/>
        </w:rPr>
        <w:t>A chamada “energia verde”, definida como a “eletricidade gerada usando fontes renováveis de energia, e incluindo tecnologia</w:t>
      </w:r>
      <w:r w:rsidR="00F15DD9">
        <w:rPr>
          <w:rStyle w:val="apple-style-span"/>
          <w:rFonts w:eastAsia="Times"/>
          <w:color w:val="000000"/>
          <w:szCs w:val="24"/>
          <w:lang w:eastAsia="it-IT"/>
        </w:rPr>
        <w:t>s</w:t>
      </w:r>
      <w:r>
        <w:rPr>
          <w:rStyle w:val="apple-style-span"/>
          <w:rFonts w:eastAsia="Times"/>
          <w:color w:val="000000"/>
          <w:szCs w:val="24"/>
          <w:lang w:eastAsia="it-IT"/>
        </w:rPr>
        <w:t xml:space="preserve"> como painéis fotovoltaicos, projetos de biomassa, projetos geotérmicos e biomassa</w:t>
      </w:r>
      <w:r w:rsidRPr="00E14EF1">
        <w:rPr>
          <w:rStyle w:val="apple-style-span"/>
          <w:rFonts w:eastAsia="Times"/>
          <w:color w:val="000000"/>
          <w:szCs w:val="24"/>
          <w:lang w:eastAsia="it-IT"/>
        </w:rPr>
        <w:t>”</w:t>
      </w:r>
      <w:r w:rsidR="00327013" w:rsidRPr="00E14EF1">
        <w:rPr>
          <w:rStyle w:val="apple-style-span"/>
          <w:rFonts w:eastAsia="Times"/>
          <w:color w:val="000000"/>
          <w:szCs w:val="24"/>
          <w:lang w:eastAsia="it-IT"/>
        </w:rPr>
        <w:t xml:space="preserve"> </w:t>
      </w:r>
      <w:sdt>
        <w:sdtPr>
          <w:rPr>
            <w:rStyle w:val="apple-style-span"/>
            <w:rFonts w:eastAsia="Times"/>
            <w:color w:val="000000"/>
            <w:szCs w:val="24"/>
            <w:lang w:eastAsia="it-IT"/>
          </w:rPr>
          <w:id w:val="-1343703753"/>
          <w:citation/>
        </w:sdtPr>
        <w:sdtContent>
          <w:r w:rsidR="00940D78" w:rsidRPr="00E14EF1">
            <w:rPr>
              <w:rStyle w:val="apple-style-span"/>
              <w:rFonts w:eastAsia="Times"/>
              <w:color w:val="000000"/>
              <w:szCs w:val="24"/>
              <w:lang w:eastAsia="it-IT"/>
            </w:rPr>
            <w:fldChar w:fldCharType="begin"/>
          </w:r>
          <w:r w:rsidR="00327013" w:rsidRPr="00E14EF1">
            <w:rPr>
              <w:rStyle w:val="apple-style-span"/>
              <w:rFonts w:eastAsia="Times"/>
              <w:color w:val="000000"/>
              <w:szCs w:val="24"/>
              <w:lang w:eastAsia="it-IT"/>
            </w:rPr>
            <w:instrText xml:space="preserve"> CITATION Zar03 \l 1046 </w:instrText>
          </w:r>
          <w:r w:rsidR="00940D78" w:rsidRPr="00E14EF1">
            <w:rPr>
              <w:rStyle w:val="apple-style-span"/>
              <w:rFonts w:eastAsia="Times"/>
              <w:color w:val="000000"/>
              <w:szCs w:val="24"/>
              <w:lang w:eastAsia="it-IT"/>
            </w:rPr>
            <w:fldChar w:fldCharType="separate"/>
          </w:r>
          <w:r w:rsidR="00D96765" w:rsidRPr="00D96765">
            <w:rPr>
              <w:rFonts w:eastAsia="Times" w:cs="Times New Roman"/>
              <w:noProof/>
              <w:color w:val="000000"/>
              <w:szCs w:val="24"/>
              <w:lang w:eastAsia="it-IT"/>
            </w:rPr>
            <w:t>[</w:t>
          </w:r>
          <w:hyperlink w:anchor="Zar03" w:history="1">
            <w:r w:rsidR="00D96765" w:rsidRPr="00D96765">
              <w:rPr>
                <w:rFonts w:eastAsia="Times" w:cs="Times New Roman"/>
                <w:noProof/>
                <w:color w:val="000000"/>
                <w:szCs w:val="24"/>
                <w:lang w:eastAsia="it-IT"/>
              </w:rPr>
              <w:t>2</w:t>
            </w:r>
          </w:hyperlink>
          <w:r w:rsidR="00D96765" w:rsidRPr="00D96765">
            <w:rPr>
              <w:rFonts w:eastAsia="Times" w:cs="Times New Roman"/>
              <w:noProof/>
              <w:color w:val="000000"/>
              <w:szCs w:val="24"/>
              <w:lang w:eastAsia="it-IT"/>
            </w:rPr>
            <w:t>]</w:t>
          </w:r>
          <w:r w:rsidR="00940D78" w:rsidRPr="00E14EF1">
            <w:rPr>
              <w:rStyle w:val="apple-style-span"/>
              <w:rFonts w:eastAsia="Times"/>
              <w:color w:val="000000"/>
              <w:szCs w:val="24"/>
              <w:lang w:eastAsia="it-IT"/>
            </w:rPr>
            <w:fldChar w:fldCharType="end"/>
          </w:r>
        </w:sdtContent>
      </w:sdt>
      <w:r w:rsidRPr="00E14EF1">
        <w:rPr>
          <w:rStyle w:val="apple-style-span"/>
          <w:rFonts w:eastAsia="Times"/>
          <w:color w:val="000000"/>
          <w:szCs w:val="24"/>
          <w:lang w:eastAsia="it-IT"/>
        </w:rPr>
        <w:t>,</w:t>
      </w:r>
      <w:r>
        <w:rPr>
          <w:rStyle w:val="apple-style-span"/>
          <w:rFonts w:eastAsia="Times"/>
          <w:color w:val="000000"/>
          <w:szCs w:val="24"/>
          <w:lang w:eastAsia="it-IT"/>
        </w:rPr>
        <w:t xml:space="preserve"> não envolve a emissão de </w:t>
      </w:r>
      <w:r w:rsidRPr="000B3235">
        <w:rPr>
          <w:rStyle w:val="apple-style-span"/>
          <w:rFonts w:eastAsia="Times"/>
          <w:color w:val="000000"/>
          <w:szCs w:val="24"/>
          <w:lang w:eastAsia="it-IT"/>
        </w:rPr>
        <w:t>gases do efeito estufa</w:t>
      </w:r>
      <w:r>
        <w:rPr>
          <w:rStyle w:val="apple-style-span"/>
          <w:rFonts w:eastAsia="Times"/>
          <w:color w:val="000000"/>
          <w:szCs w:val="24"/>
          <w:lang w:eastAsia="it-IT"/>
        </w:rPr>
        <w:t xml:space="preserve"> e t</w:t>
      </w:r>
      <w:r w:rsidR="00024687">
        <w:rPr>
          <w:rStyle w:val="apple-style-span"/>
          <w:rFonts w:eastAsia="Times"/>
          <w:color w:val="000000"/>
          <w:szCs w:val="24"/>
          <w:lang w:eastAsia="it-IT"/>
        </w:rPr>
        <w:t>e</w:t>
      </w:r>
      <w:r>
        <w:rPr>
          <w:rStyle w:val="apple-style-span"/>
          <w:rFonts w:eastAsia="Times"/>
          <w:color w:val="000000"/>
          <w:szCs w:val="24"/>
          <w:lang w:eastAsia="it-IT"/>
        </w:rPr>
        <w:t xml:space="preserve">m sido vista como uma </w:t>
      </w:r>
      <w:r w:rsidR="004D36E7">
        <w:rPr>
          <w:rStyle w:val="apple-style-span"/>
          <w:rFonts w:eastAsia="Times"/>
          <w:color w:val="000000"/>
          <w:szCs w:val="24"/>
          <w:lang w:eastAsia="it-IT"/>
        </w:rPr>
        <w:t xml:space="preserve">potencial </w:t>
      </w:r>
      <w:r>
        <w:rPr>
          <w:rStyle w:val="apple-style-span"/>
          <w:rFonts w:eastAsia="Times"/>
          <w:color w:val="000000"/>
          <w:szCs w:val="24"/>
          <w:lang w:eastAsia="it-IT"/>
        </w:rPr>
        <w:t xml:space="preserve">solução </w:t>
      </w:r>
      <w:r w:rsidR="004D36E7">
        <w:rPr>
          <w:rStyle w:val="apple-style-span"/>
          <w:rFonts w:eastAsia="Times"/>
          <w:color w:val="000000"/>
          <w:szCs w:val="24"/>
          <w:lang w:eastAsia="it-IT"/>
        </w:rPr>
        <w:t>para o</w:t>
      </w:r>
      <w:r w:rsidR="00572254">
        <w:rPr>
          <w:rStyle w:val="apple-style-span"/>
          <w:rFonts w:eastAsia="Times"/>
          <w:color w:val="000000"/>
          <w:szCs w:val="24"/>
          <w:lang w:eastAsia="it-IT"/>
        </w:rPr>
        <w:t>s</w:t>
      </w:r>
      <w:r w:rsidR="004D36E7">
        <w:rPr>
          <w:rStyle w:val="apple-style-span"/>
          <w:rFonts w:eastAsia="Times"/>
          <w:color w:val="000000"/>
          <w:szCs w:val="24"/>
          <w:lang w:eastAsia="it-IT"/>
        </w:rPr>
        <w:t xml:space="preserve"> enfrentamentos às </w:t>
      </w:r>
      <w:r>
        <w:rPr>
          <w:rStyle w:val="apple-style-span"/>
          <w:rFonts w:eastAsia="Times"/>
          <w:color w:val="000000"/>
          <w:szCs w:val="24"/>
          <w:lang w:eastAsia="it-IT"/>
        </w:rPr>
        <w:t>mudanças climáticas.</w:t>
      </w:r>
    </w:p>
    <w:p w:rsidR="000B3235" w:rsidRPr="00D90B1D" w:rsidRDefault="000B3235" w:rsidP="000B3235">
      <w:pPr>
        <w:pStyle w:val="para"/>
        <w:rPr>
          <w:rStyle w:val="apple-style-span"/>
          <w:rFonts w:eastAsia="Times"/>
          <w:color w:val="000000"/>
          <w:szCs w:val="24"/>
          <w:lang w:eastAsia="it-IT"/>
        </w:rPr>
      </w:pPr>
      <w:r>
        <w:rPr>
          <w:rStyle w:val="apple-style-span"/>
          <w:rFonts w:eastAsia="Times"/>
          <w:color w:val="000000"/>
          <w:szCs w:val="24"/>
          <w:lang w:eastAsia="it-IT"/>
        </w:rPr>
        <w:t>Neste sentido, a geração distribuída</w:t>
      </w:r>
      <w:r w:rsidR="00424520">
        <w:rPr>
          <w:rStyle w:val="apple-style-span"/>
          <w:rFonts w:eastAsia="Times"/>
          <w:color w:val="000000"/>
          <w:szCs w:val="24"/>
          <w:lang w:eastAsia="it-IT"/>
        </w:rPr>
        <w:t>,</w:t>
      </w:r>
      <w:r w:rsidR="00F94056">
        <w:rPr>
          <w:rStyle w:val="apple-style-span"/>
          <w:rFonts w:eastAsia="Times"/>
          <w:color w:val="000000"/>
          <w:szCs w:val="24"/>
          <w:lang w:eastAsia="it-IT"/>
        </w:rPr>
        <w:t xml:space="preserve"> </w:t>
      </w:r>
      <w:r w:rsidR="00694451">
        <w:rPr>
          <w:rStyle w:val="apple-style-span"/>
          <w:rFonts w:eastAsia="Times"/>
          <w:color w:val="000000"/>
          <w:szCs w:val="24"/>
          <w:lang w:eastAsia="it-IT"/>
        </w:rPr>
        <w:t>baseada em</w:t>
      </w:r>
      <w:r w:rsidR="00F94056">
        <w:rPr>
          <w:rStyle w:val="apple-style-span"/>
          <w:rFonts w:eastAsia="Times"/>
          <w:color w:val="000000"/>
          <w:szCs w:val="24"/>
          <w:lang w:eastAsia="it-IT"/>
        </w:rPr>
        <w:t xml:space="preserve"> </w:t>
      </w:r>
      <w:r w:rsidR="00327013">
        <w:rPr>
          <w:rStyle w:val="apple-style-span"/>
          <w:rFonts w:eastAsia="Times"/>
          <w:color w:val="000000"/>
          <w:szCs w:val="24"/>
          <w:lang w:eastAsia="it-IT"/>
        </w:rPr>
        <w:t>“</w:t>
      </w:r>
      <w:r w:rsidR="00F94056">
        <w:rPr>
          <w:rStyle w:val="apple-style-span"/>
          <w:rFonts w:eastAsia="Times"/>
          <w:color w:val="000000"/>
          <w:szCs w:val="24"/>
          <w:lang w:eastAsia="it-IT"/>
        </w:rPr>
        <w:t>energia verde</w:t>
      </w:r>
      <w:r w:rsidR="00327013">
        <w:rPr>
          <w:rStyle w:val="apple-style-span"/>
          <w:rFonts w:eastAsia="Times"/>
          <w:color w:val="000000"/>
          <w:szCs w:val="24"/>
          <w:lang w:eastAsia="it-IT"/>
        </w:rPr>
        <w:t>”</w:t>
      </w:r>
      <w:r w:rsidR="00424520">
        <w:rPr>
          <w:rStyle w:val="apple-style-span"/>
          <w:rFonts w:eastAsia="Times"/>
          <w:color w:val="000000"/>
          <w:szCs w:val="24"/>
          <w:lang w:eastAsia="it-IT"/>
        </w:rPr>
        <w:t>,</w:t>
      </w:r>
      <w:r>
        <w:rPr>
          <w:rStyle w:val="apple-style-span"/>
          <w:rFonts w:eastAsia="Times"/>
          <w:color w:val="000000"/>
          <w:szCs w:val="24"/>
          <w:lang w:eastAsia="it-IT"/>
        </w:rPr>
        <w:t xml:space="preserve"> </w:t>
      </w:r>
      <w:r w:rsidRPr="000B3235">
        <w:rPr>
          <w:rStyle w:val="apple-style-span"/>
          <w:rFonts w:eastAsia="Times"/>
          <w:color w:val="000000"/>
          <w:szCs w:val="24"/>
          <w:lang w:eastAsia="it-IT"/>
        </w:rPr>
        <w:t xml:space="preserve">é uma alternativa </w:t>
      </w:r>
      <w:r>
        <w:rPr>
          <w:rStyle w:val="apple-style-span"/>
          <w:rFonts w:eastAsia="Times"/>
          <w:color w:val="000000"/>
          <w:szCs w:val="24"/>
          <w:lang w:eastAsia="it-IT"/>
        </w:rPr>
        <w:t xml:space="preserve">concreta </w:t>
      </w:r>
      <w:r w:rsidRPr="000B3235">
        <w:rPr>
          <w:rStyle w:val="apple-style-span"/>
          <w:rFonts w:eastAsia="Times"/>
          <w:color w:val="000000"/>
          <w:szCs w:val="24"/>
          <w:lang w:eastAsia="it-IT"/>
        </w:rPr>
        <w:t>de</w:t>
      </w:r>
      <w:r>
        <w:rPr>
          <w:rStyle w:val="apple-style-span"/>
          <w:rFonts w:eastAsia="Times"/>
          <w:color w:val="000000"/>
          <w:szCs w:val="24"/>
          <w:lang w:eastAsia="it-IT"/>
        </w:rPr>
        <w:t xml:space="preserve"> expansão da</w:t>
      </w:r>
      <w:r w:rsidRPr="000B3235">
        <w:rPr>
          <w:rStyle w:val="apple-style-span"/>
          <w:rFonts w:eastAsia="Times"/>
          <w:color w:val="000000"/>
          <w:szCs w:val="24"/>
          <w:lang w:eastAsia="it-IT"/>
        </w:rPr>
        <w:t xml:space="preserve"> oferta de energia elétrica</w:t>
      </w:r>
      <w:r w:rsidR="00ED68D9">
        <w:rPr>
          <w:rStyle w:val="apple-style-span"/>
          <w:rFonts w:eastAsia="Times"/>
          <w:color w:val="000000"/>
          <w:szCs w:val="24"/>
          <w:lang w:eastAsia="it-IT"/>
        </w:rPr>
        <w:t xml:space="preserve"> mais alinhada com os preceitos da sustentabilid</w:t>
      </w:r>
      <w:r w:rsidR="00285C25">
        <w:rPr>
          <w:rStyle w:val="apple-style-span"/>
          <w:rFonts w:eastAsia="Times"/>
          <w:color w:val="000000"/>
          <w:szCs w:val="24"/>
          <w:lang w:eastAsia="it-IT"/>
        </w:rPr>
        <w:t>ade</w:t>
      </w:r>
      <w:r>
        <w:rPr>
          <w:rStyle w:val="apple-style-span"/>
          <w:rFonts w:eastAsia="Times"/>
          <w:color w:val="000000"/>
          <w:szCs w:val="24"/>
          <w:lang w:eastAsia="it-IT"/>
        </w:rPr>
        <w:t>, incluindo a tecnologia de aerogeradores de pequeno porte (APP). A geração de energia elétrica de forma distribuída possibilita benefícios diretos</w:t>
      </w:r>
      <w:r w:rsidRPr="000B3235">
        <w:rPr>
          <w:rStyle w:val="apple-style-span"/>
          <w:rFonts w:eastAsia="Times"/>
          <w:color w:val="000000"/>
          <w:szCs w:val="24"/>
          <w:lang w:eastAsia="it-IT"/>
        </w:rPr>
        <w:t xml:space="preserve"> para o proprietário </w:t>
      </w:r>
      <w:r w:rsidR="00424520">
        <w:rPr>
          <w:rStyle w:val="apple-style-span"/>
          <w:rFonts w:eastAsia="Times"/>
          <w:color w:val="000000"/>
          <w:szCs w:val="24"/>
          <w:lang w:eastAsia="it-IT"/>
        </w:rPr>
        <w:t>do</w:t>
      </w:r>
      <w:r w:rsidRPr="000B3235">
        <w:rPr>
          <w:rStyle w:val="apple-style-span"/>
          <w:rFonts w:eastAsia="Times"/>
          <w:color w:val="000000"/>
          <w:szCs w:val="24"/>
          <w:lang w:eastAsia="it-IT"/>
        </w:rPr>
        <w:t xml:space="preserve"> sistema de geração de energia e externalidades positivas nas esferas técnicas, econôm</w:t>
      </w:r>
      <w:r>
        <w:rPr>
          <w:rStyle w:val="apple-style-span"/>
          <w:rFonts w:eastAsia="Times"/>
          <w:color w:val="000000"/>
          <w:szCs w:val="24"/>
          <w:lang w:eastAsia="it-IT"/>
        </w:rPr>
        <w:t>ica, social e ambiental para a sociedade</w:t>
      </w:r>
      <w:r w:rsidR="00424520">
        <w:rPr>
          <w:rStyle w:val="apple-style-span"/>
          <w:rFonts w:eastAsia="Times"/>
          <w:color w:val="000000"/>
          <w:szCs w:val="24"/>
          <w:lang w:eastAsia="it-IT"/>
        </w:rPr>
        <w:t>.</w:t>
      </w:r>
      <w:r w:rsidRPr="000B3235">
        <w:rPr>
          <w:rStyle w:val="apple-style-span"/>
          <w:rFonts w:eastAsia="Times"/>
          <w:color w:val="000000"/>
          <w:szCs w:val="24"/>
          <w:lang w:eastAsia="it-IT"/>
        </w:rPr>
        <w:t xml:space="preserve"> </w:t>
      </w:r>
      <w:r w:rsidRPr="00D90B1D">
        <w:rPr>
          <w:rStyle w:val="apple-style-span"/>
          <w:rFonts w:eastAsia="Times"/>
          <w:color w:val="000000"/>
          <w:szCs w:val="24"/>
          <w:lang w:eastAsia="it-IT"/>
        </w:rPr>
        <w:t>Os principais benefícios para o proprietário do sistema são:</w:t>
      </w:r>
      <w:r w:rsidR="00541CB6">
        <w:rPr>
          <w:rStyle w:val="apple-style-span"/>
          <w:rFonts w:eastAsia="Times"/>
          <w:color w:val="000000"/>
          <w:szCs w:val="24"/>
          <w:lang w:eastAsia="it-IT"/>
        </w:rPr>
        <w:t xml:space="preserve"> (i)</w:t>
      </w:r>
      <w:r w:rsidRPr="00D90B1D">
        <w:rPr>
          <w:rStyle w:val="apple-style-span"/>
          <w:rFonts w:eastAsia="Times"/>
          <w:color w:val="000000"/>
          <w:szCs w:val="24"/>
          <w:lang w:eastAsia="it-IT"/>
        </w:rPr>
        <w:t xml:space="preserve"> </w:t>
      </w:r>
      <w:r w:rsidR="00424520" w:rsidRPr="00D90B1D">
        <w:rPr>
          <w:rStyle w:val="apple-style-span"/>
          <w:rFonts w:eastAsia="Times"/>
          <w:color w:val="000000"/>
          <w:szCs w:val="24"/>
          <w:lang w:eastAsia="it-IT"/>
        </w:rPr>
        <w:t xml:space="preserve">redução </w:t>
      </w:r>
      <w:r w:rsidRPr="00D90B1D">
        <w:rPr>
          <w:rStyle w:val="apple-style-span"/>
          <w:rFonts w:eastAsia="Times"/>
          <w:color w:val="000000"/>
          <w:szCs w:val="24"/>
          <w:lang w:eastAsia="it-IT"/>
        </w:rPr>
        <w:t>na conta de consumo de energia elétrica</w:t>
      </w:r>
      <w:r>
        <w:rPr>
          <w:rStyle w:val="apple-style-span"/>
          <w:rFonts w:eastAsia="Times"/>
          <w:color w:val="000000"/>
          <w:szCs w:val="24"/>
          <w:lang w:eastAsia="it-IT"/>
        </w:rPr>
        <w:t xml:space="preserve">; </w:t>
      </w:r>
      <w:r w:rsidR="00541CB6">
        <w:rPr>
          <w:rStyle w:val="apple-style-span"/>
          <w:rFonts w:eastAsia="Times"/>
          <w:color w:val="000000"/>
          <w:szCs w:val="24"/>
          <w:lang w:eastAsia="it-IT"/>
        </w:rPr>
        <w:t>(</w:t>
      </w:r>
      <w:proofErr w:type="gramStart"/>
      <w:r w:rsidR="00541CB6">
        <w:rPr>
          <w:rStyle w:val="apple-style-span"/>
          <w:rFonts w:eastAsia="Times"/>
          <w:color w:val="000000"/>
          <w:szCs w:val="24"/>
          <w:lang w:eastAsia="it-IT"/>
        </w:rPr>
        <w:t>ii</w:t>
      </w:r>
      <w:proofErr w:type="gramEnd"/>
      <w:r w:rsidR="00541CB6">
        <w:rPr>
          <w:rStyle w:val="apple-style-span"/>
          <w:rFonts w:eastAsia="Times"/>
          <w:color w:val="000000"/>
          <w:szCs w:val="24"/>
          <w:lang w:eastAsia="it-IT"/>
        </w:rPr>
        <w:t>) p</w:t>
      </w:r>
      <w:r w:rsidRPr="00D90B1D">
        <w:rPr>
          <w:rStyle w:val="apple-style-span"/>
          <w:rFonts w:eastAsia="Times"/>
          <w:color w:val="000000"/>
          <w:szCs w:val="24"/>
          <w:lang w:eastAsia="it-IT"/>
        </w:rPr>
        <w:t>roteção contra futuros aumentos na tarifa de energia elétrica</w:t>
      </w:r>
      <w:r>
        <w:rPr>
          <w:rStyle w:val="apple-style-span"/>
          <w:rFonts w:eastAsia="Times"/>
          <w:color w:val="000000"/>
          <w:szCs w:val="24"/>
          <w:lang w:eastAsia="it-IT"/>
        </w:rPr>
        <w:t>;</w:t>
      </w:r>
      <w:r w:rsidRPr="00D90B1D">
        <w:rPr>
          <w:rStyle w:val="apple-style-span"/>
          <w:rFonts w:eastAsia="Times"/>
          <w:color w:val="000000"/>
          <w:szCs w:val="24"/>
          <w:lang w:eastAsia="it-IT"/>
        </w:rPr>
        <w:t xml:space="preserve"> e</w:t>
      </w:r>
      <w:r w:rsidR="00541CB6">
        <w:rPr>
          <w:rStyle w:val="apple-style-span"/>
          <w:rFonts w:eastAsia="Times"/>
          <w:color w:val="000000"/>
          <w:szCs w:val="24"/>
          <w:lang w:eastAsia="it-IT"/>
        </w:rPr>
        <w:t xml:space="preserve"> (iii) p</w:t>
      </w:r>
      <w:r w:rsidRPr="00D90B1D">
        <w:rPr>
          <w:rStyle w:val="apple-style-span"/>
          <w:rFonts w:eastAsia="Times"/>
          <w:color w:val="000000"/>
          <w:szCs w:val="24"/>
          <w:lang w:eastAsia="it-IT"/>
        </w:rPr>
        <w:t>ossibilidade de aumento da segurança e da garantia de fornecimento de eletricidade associada à diversificação de fontes de oferta no local da instalação.</w:t>
      </w:r>
    </w:p>
    <w:p w:rsidR="00D84D1C" w:rsidRDefault="000B3235" w:rsidP="000B3235">
      <w:pPr>
        <w:pStyle w:val="para"/>
        <w:rPr>
          <w:rStyle w:val="apple-style-span"/>
          <w:rFonts w:eastAsia="Times"/>
          <w:color w:val="000000"/>
          <w:szCs w:val="24"/>
          <w:lang w:eastAsia="it-IT"/>
        </w:rPr>
      </w:pPr>
      <w:r w:rsidRPr="000B3235">
        <w:rPr>
          <w:rStyle w:val="apple-style-span"/>
          <w:rFonts w:eastAsia="Times"/>
          <w:color w:val="000000"/>
          <w:szCs w:val="24"/>
          <w:lang w:eastAsia="it-IT"/>
        </w:rPr>
        <w:t xml:space="preserve">Atingir as metas de desenvolvimento sustentável implica reconhecer não só a importância dos fatores econômicos </w:t>
      </w:r>
      <w:r>
        <w:rPr>
          <w:rStyle w:val="apple-style-span"/>
          <w:rFonts w:eastAsia="Times"/>
          <w:color w:val="000000"/>
          <w:szCs w:val="24"/>
          <w:lang w:eastAsia="it-IT"/>
        </w:rPr>
        <w:t>e ambient</w:t>
      </w:r>
      <w:r w:rsidR="000F3AAB">
        <w:rPr>
          <w:rStyle w:val="apple-style-span"/>
          <w:rFonts w:eastAsia="Times"/>
          <w:color w:val="000000"/>
          <w:szCs w:val="24"/>
          <w:lang w:eastAsia="it-IT"/>
        </w:rPr>
        <w:t xml:space="preserve">ais </w:t>
      </w:r>
      <w:r w:rsidRPr="000B3235">
        <w:rPr>
          <w:rStyle w:val="apple-style-span"/>
          <w:rFonts w:eastAsia="Times"/>
          <w:color w:val="000000"/>
          <w:szCs w:val="24"/>
          <w:lang w:eastAsia="it-IT"/>
        </w:rPr>
        <w:t xml:space="preserve">como também </w:t>
      </w:r>
      <w:r w:rsidR="00D84D1C">
        <w:rPr>
          <w:rStyle w:val="apple-style-span"/>
          <w:rFonts w:eastAsia="Times"/>
          <w:color w:val="000000"/>
          <w:szCs w:val="24"/>
          <w:lang w:eastAsia="it-IT"/>
        </w:rPr>
        <w:t xml:space="preserve">entender </w:t>
      </w:r>
      <w:r>
        <w:rPr>
          <w:rStyle w:val="apple-style-span"/>
          <w:rFonts w:eastAsia="Times"/>
          <w:color w:val="000000"/>
          <w:szCs w:val="24"/>
          <w:lang w:eastAsia="it-IT"/>
        </w:rPr>
        <w:t xml:space="preserve">o processo de decisão dos consumidores </w:t>
      </w:r>
      <w:r w:rsidR="00024687">
        <w:rPr>
          <w:rStyle w:val="apple-style-span"/>
          <w:rFonts w:eastAsia="Times"/>
          <w:color w:val="000000"/>
          <w:szCs w:val="24"/>
          <w:lang w:eastAsia="it-IT"/>
        </w:rPr>
        <w:t>verdes</w:t>
      </w:r>
      <w:r w:rsidR="00D84D1C">
        <w:rPr>
          <w:rStyle w:val="apple-style-span"/>
          <w:rFonts w:eastAsia="Times"/>
          <w:color w:val="000000"/>
          <w:szCs w:val="24"/>
          <w:lang w:eastAsia="it-IT"/>
        </w:rPr>
        <w:t xml:space="preserve"> (“</w:t>
      </w:r>
      <w:r w:rsidR="00D84D1C" w:rsidRPr="00D84D1C">
        <w:rPr>
          <w:rStyle w:val="apple-style-span"/>
          <w:rFonts w:eastAsia="Times"/>
          <w:i/>
          <w:color w:val="000000"/>
          <w:szCs w:val="24"/>
          <w:lang w:eastAsia="it-IT"/>
        </w:rPr>
        <w:t xml:space="preserve">Green </w:t>
      </w:r>
      <w:proofErr w:type="spellStart"/>
      <w:r w:rsidR="00D84D1C" w:rsidRPr="00D84D1C">
        <w:rPr>
          <w:rStyle w:val="apple-style-span"/>
          <w:rFonts w:eastAsia="Times"/>
          <w:i/>
          <w:color w:val="000000"/>
          <w:szCs w:val="24"/>
          <w:lang w:eastAsia="it-IT"/>
        </w:rPr>
        <w:t>Consumer</w:t>
      </w:r>
      <w:proofErr w:type="spellEnd"/>
      <w:r w:rsidR="00D84D1C">
        <w:rPr>
          <w:rStyle w:val="apple-style-span"/>
          <w:rFonts w:eastAsia="Times"/>
          <w:color w:val="000000"/>
          <w:szCs w:val="24"/>
          <w:lang w:eastAsia="it-IT"/>
        </w:rPr>
        <w:t>”)</w:t>
      </w:r>
      <w:r w:rsidRPr="000B3235">
        <w:rPr>
          <w:rStyle w:val="apple-style-span"/>
          <w:rFonts w:eastAsia="Times"/>
          <w:color w:val="000000"/>
          <w:szCs w:val="24"/>
          <w:lang w:eastAsia="it-IT"/>
        </w:rPr>
        <w:t>. Esta é uma temática de crescente interesse na comunidade técnica e cient</w:t>
      </w:r>
      <w:r w:rsidR="00541CB6">
        <w:rPr>
          <w:rStyle w:val="apple-style-span"/>
          <w:rFonts w:eastAsia="Times"/>
          <w:color w:val="000000"/>
          <w:szCs w:val="24"/>
          <w:lang w:eastAsia="it-IT"/>
        </w:rPr>
        <w:t>í</w:t>
      </w:r>
      <w:r w:rsidRPr="000B3235">
        <w:rPr>
          <w:rStyle w:val="apple-style-span"/>
          <w:rFonts w:eastAsia="Times"/>
          <w:color w:val="000000"/>
          <w:szCs w:val="24"/>
          <w:lang w:eastAsia="it-IT"/>
        </w:rPr>
        <w:t xml:space="preserve">fica no mundo. A literatura é abundante sobre as características </w:t>
      </w:r>
      <w:r w:rsidR="00D84D1C">
        <w:rPr>
          <w:rStyle w:val="apple-style-span"/>
          <w:rFonts w:eastAsia="Times"/>
          <w:color w:val="000000"/>
          <w:szCs w:val="24"/>
          <w:lang w:eastAsia="it-IT"/>
        </w:rPr>
        <w:t xml:space="preserve">físicas </w:t>
      </w:r>
      <w:r w:rsidRPr="000B3235">
        <w:rPr>
          <w:rStyle w:val="apple-style-span"/>
          <w:rFonts w:eastAsia="Times"/>
          <w:color w:val="000000"/>
          <w:szCs w:val="24"/>
          <w:lang w:eastAsia="it-IT"/>
        </w:rPr>
        <w:t>de “</w:t>
      </w:r>
      <w:proofErr w:type="spellStart"/>
      <w:proofErr w:type="gramStart"/>
      <w:r w:rsidRPr="00541CB6">
        <w:rPr>
          <w:rStyle w:val="apple-style-span"/>
          <w:rFonts w:eastAsia="Times"/>
          <w:i/>
          <w:color w:val="000000"/>
          <w:szCs w:val="24"/>
          <w:lang w:eastAsia="it-IT"/>
        </w:rPr>
        <w:t>green</w:t>
      </w:r>
      <w:proofErr w:type="spellEnd"/>
      <w:proofErr w:type="gramEnd"/>
      <w:r w:rsidRPr="00541CB6">
        <w:rPr>
          <w:rStyle w:val="apple-style-span"/>
          <w:rFonts w:eastAsia="Times"/>
          <w:i/>
          <w:color w:val="000000"/>
          <w:szCs w:val="24"/>
          <w:lang w:eastAsia="it-IT"/>
        </w:rPr>
        <w:t xml:space="preserve"> </w:t>
      </w:r>
      <w:proofErr w:type="spellStart"/>
      <w:r w:rsidRPr="00541CB6">
        <w:rPr>
          <w:rStyle w:val="apple-style-span"/>
          <w:rFonts w:eastAsia="Times"/>
          <w:i/>
          <w:color w:val="000000"/>
          <w:szCs w:val="24"/>
          <w:lang w:eastAsia="it-IT"/>
        </w:rPr>
        <w:t>tec</w:t>
      </w:r>
      <w:r w:rsidR="00E14EF1">
        <w:rPr>
          <w:rStyle w:val="apple-style-span"/>
          <w:rFonts w:eastAsia="Times"/>
          <w:i/>
          <w:color w:val="000000"/>
          <w:szCs w:val="24"/>
          <w:lang w:eastAsia="it-IT"/>
        </w:rPr>
        <w:t>h</w:t>
      </w:r>
      <w:r w:rsidRPr="00541CB6">
        <w:rPr>
          <w:rStyle w:val="apple-style-span"/>
          <w:rFonts w:eastAsia="Times"/>
          <w:i/>
          <w:color w:val="000000"/>
          <w:szCs w:val="24"/>
          <w:lang w:eastAsia="it-IT"/>
        </w:rPr>
        <w:t>nology</w:t>
      </w:r>
      <w:proofErr w:type="spellEnd"/>
      <w:r w:rsidRPr="000B3235">
        <w:rPr>
          <w:rStyle w:val="apple-style-span"/>
          <w:rFonts w:eastAsia="Times"/>
          <w:color w:val="000000"/>
          <w:szCs w:val="24"/>
          <w:lang w:eastAsia="it-IT"/>
        </w:rPr>
        <w:t>” e seus desdobramentos positivos</w:t>
      </w:r>
      <w:r w:rsidR="00541CB6">
        <w:rPr>
          <w:rStyle w:val="apple-style-span"/>
          <w:rFonts w:eastAsia="Times"/>
          <w:color w:val="000000"/>
          <w:szCs w:val="24"/>
          <w:lang w:eastAsia="it-IT"/>
        </w:rPr>
        <w:t>. N</w:t>
      </w:r>
      <w:r w:rsidRPr="000B3235">
        <w:rPr>
          <w:rStyle w:val="apple-style-span"/>
          <w:rFonts w:eastAsia="Times"/>
          <w:color w:val="000000"/>
          <w:szCs w:val="24"/>
          <w:lang w:eastAsia="it-IT"/>
        </w:rPr>
        <w:t xml:space="preserve">o entanto, com a </w:t>
      </w:r>
      <w:r w:rsidR="00D84D1C">
        <w:rPr>
          <w:rStyle w:val="apple-style-span"/>
          <w:rFonts w:eastAsia="Times"/>
          <w:color w:val="000000"/>
          <w:szCs w:val="24"/>
          <w:lang w:eastAsia="it-IT"/>
        </w:rPr>
        <w:t xml:space="preserve">perspectiva de continuidade de </w:t>
      </w:r>
      <w:r w:rsidRPr="000B3235">
        <w:rPr>
          <w:rStyle w:val="apple-style-span"/>
          <w:rFonts w:eastAsia="Times"/>
          <w:color w:val="000000"/>
          <w:szCs w:val="24"/>
          <w:lang w:eastAsia="it-IT"/>
        </w:rPr>
        <w:t xml:space="preserve">expansão da oferta de energia elétrica </w:t>
      </w:r>
      <w:r w:rsidR="00D84D1C">
        <w:rPr>
          <w:rStyle w:val="apple-style-span"/>
          <w:rFonts w:eastAsia="Times"/>
          <w:color w:val="000000"/>
          <w:szCs w:val="24"/>
          <w:lang w:eastAsia="it-IT"/>
        </w:rPr>
        <w:t xml:space="preserve">por meio da geração distribuída </w:t>
      </w:r>
      <w:r w:rsidRPr="000B3235">
        <w:rPr>
          <w:rStyle w:val="apple-style-span"/>
          <w:rFonts w:eastAsia="Times"/>
          <w:color w:val="000000"/>
          <w:szCs w:val="24"/>
          <w:lang w:eastAsia="it-IT"/>
        </w:rPr>
        <w:t>no Brasil e no mundo, novas discussões são suscitadas</w:t>
      </w:r>
      <w:r w:rsidR="00541CB6">
        <w:rPr>
          <w:rStyle w:val="apple-style-span"/>
          <w:rFonts w:eastAsia="Times"/>
          <w:color w:val="000000"/>
          <w:szCs w:val="24"/>
          <w:lang w:eastAsia="it-IT"/>
        </w:rPr>
        <w:t>.</w:t>
      </w:r>
    </w:p>
    <w:p w:rsidR="006D2C3E" w:rsidRPr="000B3235" w:rsidRDefault="000B3235" w:rsidP="006D2C3E">
      <w:pPr>
        <w:pStyle w:val="para"/>
        <w:rPr>
          <w:rStyle w:val="apple-style-span"/>
          <w:rFonts w:eastAsia="Times"/>
          <w:color w:val="000000"/>
          <w:szCs w:val="24"/>
          <w:lang w:eastAsia="it-IT"/>
        </w:rPr>
      </w:pPr>
      <w:r w:rsidRPr="000B3235">
        <w:rPr>
          <w:rStyle w:val="apple-style-span"/>
          <w:rFonts w:eastAsia="Times"/>
          <w:color w:val="000000"/>
          <w:szCs w:val="24"/>
          <w:lang w:eastAsia="it-IT"/>
        </w:rPr>
        <w:t xml:space="preserve">Reforça-se, assim, que os desafios </w:t>
      </w:r>
      <w:r w:rsidR="00304205">
        <w:rPr>
          <w:rStyle w:val="apple-style-span"/>
          <w:rFonts w:eastAsia="Times"/>
          <w:color w:val="000000"/>
          <w:szCs w:val="24"/>
          <w:lang w:eastAsia="it-IT"/>
        </w:rPr>
        <w:t>atuais da “</w:t>
      </w:r>
      <w:proofErr w:type="spellStart"/>
      <w:proofErr w:type="gramStart"/>
      <w:r w:rsidR="00541CB6" w:rsidRPr="00541CB6">
        <w:rPr>
          <w:rStyle w:val="apple-style-span"/>
          <w:rFonts w:eastAsia="Times"/>
          <w:i/>
          <w:color w:val="000000"/>
          <w:szCs w:val="24"/>
          <w:lang w:eastAsia="it-IT"/>
        </w:rPr>
        <w:t>green</w:t>
      </w:r>
      <w:proofErr w:type="spellEnd"/>
      <w:proofErr w:type="gramEnd"/>
      <w:r w:rsidR="00541CB6" w:rsidRPr="00541CB6">
        <w:rPr>
          <w:rStyle w:val="apple-style-span"/>
          <w:rFonts w:eastAsia="Times"/>
          <w:i/>
          <w:color w:val="000000"/>
          <w:szCs w:val="24"/>
          <w:lang w:eastAsia="it-IT"/>
        </w:rPr>
        <w:t xml:space="preserve"> </w:t>
      </w:r>
      <w:proofErr w:type="spellStart"/>
      <w:r w:rsidR="00541CB6" w:rsidRPr="00541CB6">
        <w:rPr>
          <w:rStyle w:val="apple-style-span"/>
          <w:rFonts w:eastAsia="Times"/>
          <w:i/>
          <w:color w:val="000000"/>
          <w:szCs w:val="24"/>
          <w:lang w:eastAsia="it-IT"/>
        </w:rPr>
        <w:t>tec</w:t>
      </w:r>
      <w:r w:rsidR="00E14EF1">
        <w:rPr>
          <w:rStyle w:val="apple-style-span"/>
          <w:rFonts w:eastAsia="Times"/>
          <w:i/>
          <w:color w:val="000000"/>
          <w:szCs w:val="24"/>
          <w:lang w:eastAsia="it-IT"/>
        </w:rPr>
        <w:t>h</w:t>
      </w:r>
      <w:r w:rsidR="00541CB6" w:rsidRPr="00541CB6">
        <w:rPr>
          <w:rStyle w:val="apple-style-span"/>
          <w:rFonts w:eastAsia="Times"/>
          <w:i/>
          <w:color w:val="000000"/>
          <w:szCs w:val="24"/>
          <w:lang w:eastAsia="it-IT"/>
        </w:rPr>
        <w:t>nology</w:t>
      </w:r>
      <w:proofErr w:type="spellEnd"/>
      <w:r w:rsidR="00304205">
        <w:rPr>
          <w:rStyle w:val="apple-style-span"/>
          <w:rFonts w:eastAsia="Times"/>
          <w:color w:val="000000"/>
          <w:szCs w:val="24"/>
          <w:lang w:eastAsia="it-IT"/>
        </w:rPr>
        <w:t xml:space="preserve">” não se </w:t>
      </w:r>
      <w:r w:rsidR="000F3AAB">
        <w:rPr>
          <w:rStyle w:val="apple-style-span"/>
          <w:rFonts w:eastAsia="Times"/>
          <w:color w:val="000000"/>
          <w:szCs w:val="24"/>
          <w:lang w:eastAsia="it-IT"/>
        </w:rPr>
        <w:t>limitam</w:t>
      </w:r>
      <w:r w:rsidR="00304205">
        <w:rPr>
          <w:rStyle w:val="apple-style-span"/>
          <w:rFonts w:eastAsia="Times"/>
          <w:color w:val="000000"/>
          <w:szCs w:val="24"/>
          <w:lang w:eastAsia="it-IT"/>
        </w:rPr>
        <w:t xml:space="preserve"> aos aspectos econômicos, sociais e ambientais, mas também </w:t>
      </w:r>
      <w:r w:rsidRPr="000B3235">
        <w:rPr>
          <w:rStyle w:val="apple-style-span"/>
          <w:rFonts w:eastAsia="Times"/>
          <w:color w:val="000000"/>
          <w:szCs w:val="24"/>
          <w:lang w:eastAsia="it-IT"/>
        </w:rPr>
        <w:t>devem ser adequadamente avaliado</w:t>
      </w:r>
      <w:r w:rsidR="00541CB6">
        <w:rPr>
          <w:rStyle w:val="apple-style-span"/>
          <w:rFonts w:eastAsia="Times"/>
          <w:color w:val="000000"/>
          <w:szCs w:val="24"/>
          <w:lang w:eastAsia="it-IT"/>
        </w:rPr>
        <w:t>s</w:t>
      </w:r>
      <w:r w:rsidRPr="000B3235">
        <w:rPr>
          <w:rStyle w:val="apple-style-span"/>
          <w:rFonts w:eastAsia="Times"/>
          <w:color w:val="000000"/>
          <w:szCs w:val="24"/>
          <w:lang w:eastAsia="it-IT"/>
        </w:rPr>
        <w:t xml:space="preserve"> e </w:t>
      </w:r>
      <w:r w:rsidRPr="000B3235">
        <w:rPr>
          <w:rStyle w:val="apple-style-span"/>
          <w:rFonts w:eastAsia="Times"/>
          <w:color w:val="000000"/>
          <w:szCs w:val="24"/>
          <w:lang w:eastAsia="it-IT"/>
        </w:rPr>
        <w:lastRenderedPageBreak/>
        <w:t>monitorado</w:t>
      </w:r>
      <w:r w:rsidR="00541CB6">
        <w:rPr>
          <w:rStyle w:val="apple-style-span"/>
          <w:rFonts w:eastAsia="Times"/>
          <w:color w:val="000000"/>
          <w:szCs w:val="24"/>
          <w:lang w:eastAsia="it-IT"/>
        </w:rPr>
        <w:t>s</w:t>
      </w:r>
      <w:r w:rsidRPr="000B3235">
        <w:rPr>
          <w:rStyle w:val="apple-style-span"/>
          <w:rFonts w:eastAsia="Times"/>
          <w:color w:val="000000"/>
          <w:szCs w:val="24"/>
          <w:lang w:eastAsia="it-IT"/>
        </w:rPr>
        <w:t xml:space="preserve"> </w:t>
      </w:r>
      <w:r w:rsidR="00304205">
        <w:rPr>
          <w:rStyle w:val="apple-style-span"/>
          <w:rFonts w:eastAsia="Times"/>
          <w:color w:val="000000"/>
          <w:szCs w:val="24"/>
          <w:lang w:eastAsia="it-IT"/>
        </w:rPr>
        <w:t>o processo de decisão</w:t>
      </w:r>
      <w:r w:rsidR="00C5151C">
        <w:rPr>
          <w:rStyle w:val="apple-style-span"/>
          <w:rFonts w:eastAsia="Times"/>
          <w:color w:val="000000"/>
          <w:szCs w:val="24"/>
          <w:lang w:eastAsia="it-IT"/>
        </w:rPr>
        <w:t xml:space="preserve"> de compra e a percepção </w:t>
      </w:r>
      <w:r w:rsidR="00304205">
        <w:rPr>
          <w:rStyle w:val="apple-style-span"/>
          <w:rFonts w:eastAsia="Times"/>
          <w:color w:val="000000"/>
          <w:szCs w:val="24"/>
          <w:lang w:eastAsia="it-IT"/>
        </w:rPr>
        <w:t>do consumidor</w:t>
      </w:r>
      <w:r w:rsidR="00C5151C">
        <w:rPr>
          <w:rStyle w:val="apple-style-span"/>
          <w:rFonts w:eastAsia="Times"/>
          <w:color w:val="000000"/>
          <w:szCs w:val="24"/>
          <w:lang w:eastAsia="it-IT"/>
        </w:rPr>
        <w:t xml:space="preserve"> em relação a tecnologia</w:t>
      </w:r>
      <w:r w:rsidR="006D2C3E">
        <w:rPr>
          <w:rStyle w:val="apple-style-span"/>
          <w:rFonts w:eastAsia="Times"/>
          <w:color w:val="000000"/>
          <w:szCs w:val="24"/>
          <w:lang w:eastAsia="it-IT"/>
        </w:rPr>
        <w:t xml:space="preserve">, buscando </w:t>
      </w:r>
      <w:r w:rsidRPr="000B3235">
        <w:rPr>
          <w:rStyle w:val="apple-style-span"/>
          <w:rFonts w:eastAsia="Times"/>
          <w:color w:val="000000"/>
          <w:szCs w:val="24"/>
          <w:lang w:eastAsia="it-IT"/>
        </w:rPr>
        <w:t xml:space="preserve">assegurar </w:t>
      </w:r>
      <w:r w:rsidR="00C5151C">
        <w:rPr>
          <w:rStyle w:val="apple-style-span"/>
          <w:rFonts w:eastAsia="Times"/>
          <w:color w:val="000000"/>
          <w:szCs w:val="24"/>
          <w:lang w:eastAsia="it-IT"/>
        </w:rPr>
        <w:t>sua</w:t>
      </w:r>
      <w:r w:rsidRPr="000B3235">
        <w:rPr>
          <w:rStyle w:val="apple-style-span"/>
          <w:rFonts w:eastAsia="Times"/>
          <w:color w:val="000000"/>
          <w:szCs w:val="24"/>
          <w:lang w:eastAsia="it-IT"/>
        </w:rPr>
        <w:t xml:space="preserve"> melhor </w:t>
      </w:r>
      <w:r w:rsidR="006D2C3E">
        <w:rPr>
          <w:rStyle w:val="apple-style-span"/>
          <w:rFonts w:eastAsia="Times"/>
          <w:color w:val="000000"/>
          <w:szCs w:val="24"/>
          <w:lang w:eastAsia="it-IT"/>
        </w:rPr>
        <w:t xml:space="preserve">aceitação social, mais </w:t>
      </w:r>
      <w:r w:rsidR="006D2C3E" w:rsidRPr="000B3235">
        <w:rPr>
          <w:rStyle w:val="apple-style-span"/>
          <w:rFonts w:eastAsia="Times"/>
          <w:color w:val="000000"/>
          <w:szCs w:val="24"/>
          <w:lang w:eastAsia="it-IT"/>
        </w:rPr>
        <w:t>alinhada</w:t>
      </w:r>
      <w:r w:rsidR="006D2C3E">
        <w:rPr>
          <w:rStyle w:val="apple-style-span"/>
          <w:rFonts w:eastAsia="Times"/>
          <w:color w:val="000000"/>
          <w:szCs w:val="24"/>
          <w:lang w:eastAsia="it-IT"/>
        </w:rPr>
        <w:t xml:space="preserve">, assim, </w:t>
      </w:r>
      <w:r w:rsidR="006D2C3E" w:rsidRPr="000B3235">
        <w:rPr>
          <w:rStyle w:val="apple-style-span"/>
          <w:rFonts w:eastAsia="Times"/>
          <w:color w:val="000000"/>
          <w:szCs w:val="24"/>
          <w:lang w:eastAsia="it-IT"/>
        </w:rPr>
        <w:t>com os c</w:t>
      </w:r>
      <w:r w:rsidR="006D2C3E">
        <w:rPr>
          <w:rStyle w:val="apple-style-span"/>
          <w:rFonts w:eastAsia="Times"/>
          <w:color w:val="000000"/>
          <w:szCs w:val="24"/>
          <w:lang w:eastAsia="it-IT"/>
        </w:rPr>
        <w:t>onceitos de sustentabilidade.</w:t>
      </w:r>
    </w:p>
    <w:p w:rsidR="00D90B1D" w:rsidRDefault="00D90B1D" w:rsidP="008C3811">
      <w:pPr>
        <w:pStyle w:val="Ttulo1"/>
        <w:rPr>
          <w:lang w:val="en-GB"/>
        </w:rPr>
      </w:pPr>
      <w:r>
        <w:rPr>
          <w:lang w:val="en-GB"/>
        </w:rPr>
        <w:t>VISÃO TEÓRICA</w:t>
      </w:r>
    </w:p>
    <w:p w:rsidR="00D90B1D" w:rsidRPr="00676A15" w:rsidRDefault="00412994" w:rsidP="00492480">
      <w:pPr>
        <w:pStyle w:val="Ttulo2"/>
        <w:rPr>
          <w:rStyle w:val="apple-style-span"/>
          <w:b w:val="0"/>
          <w:color w:val="000000"/>
          <w:szCs w:val="24"/>
          <w:lang w:eastAsia="it-IT"/>
        </w:rPr>
      </w:pPr>
      <w:r>
        <w:rPr>
          <w:rStyle w:val="apple-style-span"/>
          <w:color w:val="000000"/>
          <w:szCs w:val="24"/>
          <w:lang w:eastAsia="it-IT"/>
        </w:rPr>
        <w:t xml:space="preserve">2.1 </w:t>
      </w:r>
      <w:proofErr w:type="spellStart"/>
      <w:r w:rsidR="00676A15" w:rsidRPr="00676A15">
        <w:rPr>
          <w:rStyle w:val="apple-style-span"/>
          <w:color w:val="000000"/>
          <w:szCs w:val="24"/>
          <w:lang w:eastAsia="it-IT"/>
        </w:rPr>
        <w:t>Teoria</w:t>
      </w:r>
      <w:proofErr w:type="spellEnd"/>
      <w:r w:rsidR="00676A15" w:rsidRPr="00676A15">
        <w:rPr>
          <w:rStyle w:val="apple-style-span"/>
          <w:color w:val="000000"/>
          <w:szCs w:val="24"/>
          <w:lang w:eastAsia="it-IT"/>
        </w:rPr>
        <w:t xml:space="preserve"> </w:t>
      </w:r>
      <w:proofErr w:type="spellStart"/>
      <w:r w:rsidR="00676A15" w:rsidRPr="00676A15">
        <w:rPr>
          <w:rStyle w:val="apple-style-span"/>
          <w:color w:val="000000"/>
          <w:szCs w:val="24"/>
          <w:lang w:eastAsia="it-IT"/>
        </w:rPr>
        <w:t>Comportamental</w:t>
      </w:r>
      <w:proofErr w:type="spellEnd"/>
    </w:p>
    <w:p w:rsidR="0030259B" w:rsidRDefault="0030259B" w:rsidP="0030259B">
      <w:pPr>
        <w:pStyle w:val="para"/>
      </w:pPr>
      <w:r>
        <w:t xml:space="preserve">O comportamento do consumidor é definido como o comportamento que os consumidores exibem na busca, compra, uso, avaliação e descarte de produtos e serviços que eles esperam que </w:t>
      </w:r>
      <w:r w:rsidRPr="00E35112">
        <w:t>satisfaçam suas necessidades</w:t>
      </w:r>
      <w:r w:rsidR="00E31081">
        <w:t xml:space="preserve"> </w:t>
      </w:r>
      <w:sdt>
        <w:sdtPr>
          <w:id w:val="-1878764158"/>
          <w:citation/>
        </w:sdtPr>
        <w:sdtContent>
          <w:r w:rsidR="00940D78">
            <w:fldChar w:fldCharType="begin"/>
          </w:r>
          <w:r w:rsidR="00E31081">
            <w:instrText xml:space="preserve"> CITATION SCH07 \l 1046 </w:instrText>
          </w:r>
          <w:r w:rsidR="00940D78">
            <w:fldChar w:fldCharType="separate"/>
          </w:r>
          <w:r w:rsidR="00D96765">
            <w:rPr>
              <w:noProof/>
            </w:rPr>
            <w:t>[</w:t>
          </w:r>
          <w:hyperlink w:anchor="SCH07" w:history="1">
            <w:r w:rsidR="00D96765">
              <w:rPr>
                <w:noProof/>
              </w:rPr>
              <w:t>3</w:t>
            </w:r>
          </w:hyperlink>
          <w:r w:rsidR="00D96765">
            <w:rPr>
              <w:noProof/>
            </w:rPr>
            <w:t>]</w:t>
          </w:r>
          <w:r w:rsidR="00940D78">
            <w:fldChar w:fldCharType="end"/>
          </w:r>
        </w:sdtContent>
      </w:sdt>
      <w:r w:rsidR="0048307C" w:rsidRPr="00E35112">
        <w:t>.</w:t>
      </w:r>
      <w:r>
        <w:t xml:space="preserve"> </w:t>
      </w:r>
    </w:p>
    <w:p w:rsidR="0030259B" w:rsidRDefault="0030259B" w:rsidP="0030259B">
      <w:pPr>
        <w:pStyle w:val="para"/>
      </w:pPr>
      <w:r>
        <w:t xml:space="preserve">A </w:t>
      </w:r>
      <w:r w:rsidRPr="000A0F1A">
        <w:t>te</w:t>
      </w:r>
      <w:r>
        <w:t xml:space="preserve">oria de racionalidade limitada </w:t>
      </w:r>
      <w:r w:rsidRPr="000A0F1A">
        <w:t>argumenta que a capacidade das pessoas em lidar com as informações necessárias à tomada de uma decisão é limitada</w:t>
      </w:r>
      <w:r>
        <w:t xml:space="preserve"> pela </w:t>
      </w:r>
      <w:proofErr w:type="spellStart"/>
      <w:r>
        <w:t>tratabilidade</w:t>
      </w:r>
      <w:proofErr w:type="spellEnd"/>
      <w:r>
        <w:t xml:space="preserve"> do problema de decisão, as limitações cognitivas do indivíduo e o tempo disponível para tomar </w:t>
      </w:r>
      <w:r w:rsidRPr="00E35112">
        <w:t xml:space="preserve">a decisão </w:t>
      </w:r>
      <w:sdt>
        <w:sdtPr>
          <w:id w:val="-485090238"/>
          <w:citation/>
        </w:sdtPr>
        <w:sdtContent>
          <w:r w:rsidR="00940D78" w:rsidRPr="00E35112">
            <w:fldChar w:fldCharType="begin"/>
          </w:r>
          <w:r w:rsidRPr="00E35112">
            <w:instrText xml:space="preserve"> CITATION Sim57 \l 1046 </w:instrText>
          </w:r>
          <w:r w:rsidR="00940D78" w:rsidRPr="00E35112">
            <w:fldChar w:fldCharType="separate"/>
          </w:r>
          <w:r w:rsidR="00D96765">
            <w:rPr>
              <w:noProof/>
            </w:rPr>
            <w:t>[</w:t>
          </w:r>
          <w:hyperlink w:anchor="Sim57" w:history="1">
            <w:r w:rsidR="00D96765">
              <w:rPr>
                <w:noProof/>
              </w:rPr>
              <w:t>4</w:t>
            </w:r>
          </w:hyperlink>
          <w:r w:rsidR="00D96765">
            <w:rPr>
              <w:noProof/>
            </w:rPr>
            <w:t>]</w:t>
          </w:r>
          <w:r w:rsidR="00940D78" w:rsidRPr="00E35112">
            <w:fldChar w:fldCharType="end"/>
          </w:r>
        </w:sdtContent>
      </w:sdt>
      <w:r w:rsidRPr="00E35112">
        <w:t>.</w:t>
      </w:r>
      <w:r>
        <w:t xml:space="preserve"> Diferente da visão econômica clássica do consumidor racional que escolhe a alternativa que maximiza sua utilidade, o consumidor cognitivo </w:t>
      </w:r>
      <w:r w:rsidRPr="00F178B5">
        <w:t xml:space="preserve">não </w:t>
      </w:r>
      <w:r>
        <w:t>possui</w:t>
      </w:r>
      <w:r w:rsidRPr="00F178B5">
        <w:t xml:space="preserve"> total conhecimento sobre alternativas de produtos disponíveis e, portanto, não pode tomar decisões perfeitas, mas procura ativamente informações na tentativa de tomar decisões </w:t>
      </w:r>
      <w:r>
        <w:t>satisfatórias. É comum o consumidor cognitivo fazer uso de regras de decisão simplificadas para lidar com a falta ou o excesso de informação e também haver a influência da emoção no processo de tomada de decisão.</w:t>
      </w:r>
    </w:p>
    <w:p w:rsidR="00D01696" w:rsidRDefault="00D01696" w:rsidP="00D01696">
      <w:pPr>
        <w:pStyle w:val="para"/>
      </w:pPr>
      <w:r>
        <w:t xml:space="preserve">Na visão emocional, o valor percebido é influenciado por sentimentos e emoções que o consumidor experimenta durante o processo de compra de um produto. Entretanto, isso não significa que as decisões emocionais não sejam racionais, visto que a compra de produtos que proporcionem satisfação emocional é uma decisão perfeitamente racional do consumidor. Atualmente, emoções são consideradas um fator chave em todos os estágios do processo de </w:t>
      </w:r>
      <w:r w:rsidRPr="00E35112">
        <w:t xml:space="preserve">compra </w:t>
      </w:r>
      <w:sdt>
        <w:sdtPr>
          <w:id w:val="-1781486345"/>
          <w:citation/>
        </w:sdtPr>
        <w:sdtContent>
          <w:r w:rsidR="00940D78" w:rsidRPr="00E35112">
            <w:fldChar w:fldCharType="begin"/>
          </w:r>
          <w:r w:rsidR="00E45691" w:rsidRPr="00E35112">
            <w:instrText xml:space="preserve"> CITATION Dee17 \l 1046 </w:instrText>
          </w:r>
          <w:r w:rsidR="00940D78" w:rsidRPr="00E35112">
            <w:fldChar w:fldCharType="separate"/>
          </w:r>
          <w:r w:rsidR="00D96765">
            <w:rPr>
              <w:noProof/>
            </w:rPr>
            <w:t>[</w:t>
          </w:r>
          <w:hyperlink w:anchor="Dee17" w:history="1">
            <w:r w:rsidR="00D96765">
              <w:rPr>
                <w:noProof/>
              </w:rPr>
              <w:t>5</w:t>
            </w:r>
          </w:hyperlink>
          <w:r w:rsidR="00D96765">
            <w:rPr>
              <w:noProof/>
            </w:rPr>
            <w:t>]</w:t>
          </w:r>
          <w:r w:rsidR="00940D78" w:rsidRPr="00E35112">
            <w:fldChar w:fldCharType="end"/>
          </w:r>
        </w:sdtContent>
      </w:sdt>
      <w:r w:rsidRPr="00E35112">
        <w:t>.</w:t>
      </w:r>
    </w:p>
    <w:p w:rsidR="0030259B" w:rsidRDefault="0030259B" w:rsidP="0030259B">
      <w:pPr>
        <w:pStyle w:val="para"/>
      </w:pPr>
      <w:r w:rsidRPr="00875449">
        <w:t xml:space="preserve">O processo de decisão do consumidor pode ser </w:t>
      </w:r>
      <w:r>
        <w:t>de</w:t>
      </w:r>
      <w:r w:rsidRPr="00875449">
        <w:t xml:space="preserve">composto </w:t>
      </w:r>
      <w:r>
        <w:t>em</w:t>
      </w:r>
      <w:r w:rsidRPr="00875449">
        <w:t xml:space="preserve"> três estágios: </w:t>
      </w:r>
      <w:r>
        <w:t>entrada</w:t>
      </w:r>
      <w:r w:rsidRPr="00875449">
        <w:t xml:space="preserve">, </w:t>
      </w:r>
      <w:r>
        <w:t xml:space="preserve">processo e saída. </w:t>
      </w:r>
      <w:r w:rsidRPr="00875449">
        <w:t xml:space="preserve">O primeiro estágio, </w:t>
      </w:r>
      <w:r>
        <w:t>entrada</w:t>
      </w:r>
      <w:r w:rsidRPr="00875449">
        <w:t>, é tudo aquilo que influência o reconhecimento pelo consumidor da necessidade de um produto, o que ele compra e como usa o que compra.</w:t>
      </w:r>
      <w:r>
        <w:t xml:space="preserve"> Essa influência externa consiste dos resultados de esforços d</w:t>
      </w:r>
      <w:r w:rsidRPr="00875449">
        <w:t>e marketing</w:t>
      </w:r>
      <w:r>
        <w:t xml:space="preserve"> das empresas</w:t>
      </w:r>
      <w:r w:rsidRPr="00875449">
        <w:t xml:space="preserve"> e das influências socioculturais</w:t>
      </w:r>
      <w:r>
        <w:t>. O segundo estágio, processo, foca em como o consumidor toma decisões. Os fatores psicológicos de cada indivíduo afetam como as entradas externas do primeiro estágio influenciam</w:t>
      </w:r>
      <w:r w:rsidR="00320165">
        <w:t xml:space="preserve"> as etapas do processo</w:t>
      </w:r>
      <w:r>
        <w:t>: (i) o reconhecimento da necessidade pelo consumidor, (</w:t>
      </w:r>
      <w:proofErr w:type="gramStart"/>
      <w:r>
        <w:t>ii</w:t>
      </w:r>
      <w:proofErr w:type="gramEnd"/>
      <w:r>
        <w:t>) procura pré-compra por informação e (iii) avaliação de alternativas. Por fim, o</w:t>
      </w:r>
      <w:r w:rsidRPr="00875449">
        <w:t xml:space="preserve"> terceiro estágio, </w:t>
      </w:r>
      <w:r>
        <w:t>saída</w:t>
      </w:r>
      <w:r w:rsidRPr="00875449">
        <w:t>, consiste das atividades pós-decisão</w:t>
      </w:r>
      <w:r>
        <w:t>,</w:t>
      </w:r>
      <w:r w:rsidRPr="00875449">
        <w:t xml:space="preserve"> comportamento de compra e avaliação pós-compra</w:t>
      </w:r>
      <w:r>
        <w:t>.</w:t>
      </w:r>
    </w:p>
    <w:p w:rsidR="0030259B" w:rsidRDefault="0030259B" w:rsidP="0030259B">
      <w:pPr>
        <w:pStyle w:val="para"/>
      </w:pPr>
      <w:r>
        <w:lastRenderedPageBreak/>
        <w:t xml:space="preserve">O reconhecimento de uma necessidade ocorre quando </w:t>
      </w:r>
      <w:r w:rsidR="004F5320">
        <w:t>o</w:t>
      </w:r>
      <w:r>
        <w:t xml:space="preserve"> consumidor é confrontado com um problema, que pode ser percebido em relação a um estado real, quando um produto não funciona de forma satisfatória, ou a um estado desejado, que motiva e desencadeia o processo de tomada decisão. Quanto maior for à diferença entre a situação real e os estados desejados, mais forte é a necessidade ou maior o problema.</w:t>
      </w:r>
    </w:p>
    <w:p w:rsidR="0030259B" w:rsidRDefault="0030259B" w:rsidP="0030259B">
      <w:pPr>
        <w:pStyle w:val="para"/>
      </w:pPr>
      <w:r w:rsidRPr="00594A9C">
        <w:t xml:space="preserve">Para </w:t>
      </w:r>
      <w:r>
        <w:t>atender uma</w:t>
      </w:r>
      <w:r w:rsidRPr="00594A9C">
        <w:t xml:space="preserve"> necessidade, podem existir muitos objetivos diferentes</w:t>
      </w:r>
      <w:r>
        <w:t>,</w:t>
      </w:r>
      <w:r w:rsidRPr="00594A9C">
        <w:t xml:space="preserve"> </w:t>
      </w:r>
      <w:r>
        <w:t>que</w:t>
      </w:r>
      <w:r w:rsidRPr="00594A9C">
        <w:t xml:space="preserve"> dependem </w:t>
      </w:r>
      <w:r>
        <w:t>das</w:t>
      </w:r>
      <w:r w:rsidRPr="00594A9C">
        <w:t xml:space="preserve"> experiências pessoais, da capacidade física, normas vigentes e valores culturais, e da acessibilidade do objetivo no ambiente físico e social.</w:t>
      </w:r>
      <w:r w:rsidRPr="007B6225">
        <w:t xml:space="preserve"> </w:t>
      </w:r>
      <w:r>
        <w:t xml:space="preserve">O comportamento do consumidor pode ser motivado por mais de uma necessidade e objetivos podem ser selecionados porque eles cumprem várias necessidades. Entretanto, não é possível inferir com precisão os motivos do </w:t>
      </w:r>
      <w:r w:rsidRPr="00E31081">
        <w:t xml:space="preserve">comportamento </w:t>
      </w:r>
      <w:sdt>
        <w:sdtPr>
          <w:id w:val="-2075111036"/>
          <w:citation/>
        </w:sdtPr>
        <w:sdtContent>
          <w:r w:rsidR="00940D78" w:rsidRPr="00E31081">
            <w:fldChar w:fldCharType="begin"/>
          </w:r>
          <w:r w:rsidRPr="00E31081">
            <w:instrText xml:space="preserve"> CITATION SCH07 \l 1046 </w:instrText>
          </w:r>
          <w:r w:rsidR="00940D78" w:rsidRPr="00E31081">
            <w:fldChar w:fldCharType="separate"/>
          </w:r>
          <w:r w:rsidR="00D96765">
            <w:rPr>
              <w:noProof/>
            </w:rPr>
            <w:t>[</w:t>
          </w:r>
          <w:hyperlink w:anchor="SCH07" w:history="1">
            <w:r w:rsidR="00D96765">
              <w:rPr>
                <w:noProof/>
              </w:rPr>
              <w:t>3</w:t>
            </w:r>
          </w:hyperlink>
          <w:r w:rsidR="00D96765">
            <w:rPr>
              <w:noProof/>
            </w:rPr>
            <w:t>]</w:t>
          </w:r>
          <w:r w:rsidR="00940D78" w:rsidRPr="00E31081">
            <w:fldChar w:fldCharType="end"/>
          </w:r>
        </w:sdtContent>
      </w:sdt>
      <w:r w:rsidRPr="00E31081">
        <w:t>.</w:t>
      </w:r>
    </w:p>
    <w:p w:rsidR="00676A15" w:rsidRPr="00EE76C6" w:rsidRDefault="00412994" w:rsidP="00492480">
      <w:pPr>
        <w:pStyle w:val="Ttulo2"/>
        <w:rPr>
          <w:rStyle w:val="apple-style-span"/>
          <w:b w:val="0"/>
          <w:color w:val="000000"/>
          <w:szCs w:val="24"/>
          <w:lang w:val="pt-BR" w:eastAsia="it-IT"/>
        </w:rPr>
      </w:pPr>
      <w:r>
        <w:rPr>
          <w:rStyle w:val="apple-style-span"/>
          <w:color w:val="000000"/>
          <w:szCs w:val="24"/>
          <w:lang w:val="pt-BR" w:eastAsia="it-IT"/>
        </w:rPr>
        <w:t xml:space="preserve">2.2 </w:t>
      </w:r>
      <w:r w:rsidR="00676A15" w:rsidRPr="00EE76C6">
        <w:rPr>
          <w:rStyle w:val="apple-style-span"/>
          <w:color w:val="000000"/>
          <w:szCs w:val="24"/>
          <w:lang w:val="pt-BR" w:eastAsia="it-IT"/>
        </w:rPr>
        <w:t>Percepções do Consumidor</w:t>
      </w:r>
    </w:p>
    <w:p w:rsidR="00492480" w:rsidRPr="00572254" w:rsidRDefault="00492480" w:rsidP="00572254">
      <w:pPr>
        <w:pStyle w:val="para"/>
      </w:pPr>
      <w:r w:rsidRPr="00492480">
        <w:t xml:space="preserve">A etapa de procura pré-compra </w:t>
      </w:r>
      <w:r w:rsidR="00922457">
        <w:t>por</w:t>
      </w:r>
      <w:r w:rsidR="004F5320">
        <w:t xml:space="preserve"> um</w:t>
      </w:r>
      <w:r w:rsidRPr="00492480">
        <w:t xml:space="preserve"> sistema de geração distribuída tende a ser complexa e extensa, considerando os principais fatores que influenciam diretamente</w:t>
      </w:r>
      <w:r w:rsidR="004F5320">
        <w:t xml:space="preserve"> su</w:t>
      </w:r>
      <w:r w:rsidRPr="00492480">
        <w:t xml:space="preserve">a viabilidade técnica </w:t>
      </w:r>
      <w:r w:rsidRPr="00D36313">
        <w:t xml:space="preserve">e econômica </w:t>
      </w:r>
      <w:sdt>
        <w:sdtPr>
          <w:id w:val="1321162586"/>
          <w:citation/>
        </w:sdtPr>
        <w:sdtContent>
          <w:r w:rsidR="00940D78" w:rsidRPr="00D36313">
            <w:fldChar w:fldCharType="begin"/>
          </w:r>
          <w:r w:rsidRPr="00D36313">
            <w:instrText xml:space="preserve"> CITATION ANE16 \l 1046 </w:instrText>
          </w:r>
          <w:r w:rsidR="00940D78" w:rsidRPr="00D36313">
            <w:fldChar w:fldCharType="separate"/>
          </w:r>
          <w:r w:rsidR="00D96765">
            <w:rPr>
              <w:noProof/>
            </w:rPr>
            <w:t>[</w:t>
          </w:r>
          <w:hyperlink w:anchor="ANE16" w:history="1">
            <w:r w:rsidR="00D96765">
              <w:rPr>
                <w:noProof/>
              </w:rPr>
              <w:t>6</w:t>
            </w:r>
          </w:hyperlink>
          <w:r w:rsidR="00D96765">
            <w:rPr>
              <w:noProof/>
            </w:rPr>
            <w:t>]</w:t>
          </w:r>
          <w:r w:rsidR="00940D78" w:rsidRPr="00D36313">
            <w:fldChar w:fldCharType="end"/>
          </w:r>
        </w:sdtContent>
      </w:sdt>
      <w:r w:rsidRPr="00D36313">
        <w:t xml:space="preserve">: </w:t>
      </w:r>
      <w:r w:rsidR="00D36313" w:rsidRPr="00D36313">
        <w:t xml:space="preserve">tipo </w:t>
      </w:r>
      <w:r w:rsidRPr="00D36313">
        <w:t>da fonte</w:t>
      </w:r>
      <w:r w:rsidRPr="00572254">
        <w:t xml:space="preserve"> de energia (painéis fotovoltaicos, aerogeradores, ger</w:t>
      </w:r>
      <w:r w:rsidR="00572254">
        <w:t xml:space="preserve">adores a biomassa, </w:t>
      </w:r>
      <w:proofErr w:type="spellStart"/>
      <w:r w:rsidR="00572254">
        <w:t>etc</w:t>
      </w:r>
      <w:proofErr w:type="spellEnd"/>
      <w:r w:rsidR="00572254">
        <w:t>);</w:t>
      </w:r>
      <w:r w:rsidRPr="00572254">
        <w:t xml:space="preserve"> </w:t>
      </w:r>
      <w:r w:rsidR="00D36313" w:rsidRPr="00572254">
        <w:t xml:space="preserve">tecnologia </w:t>
      </w:r>
      <w:r w:rsidRPr="00572254">
        <w:t>dos equipamentos de geração</w:t>
      </w:r>
      <w:r w:rsidR="00572254">
        <w:t xml:space="preserve">; </w:t>
      </w:r>
      <w:r w:rsidR="00D36313" w:rsidRPr="00572254">
        <w:t xml:space="preserve">porte </w:t>
      </w:r>
      <w:r w:rsidRPr="00572254">
        <w:t>da unidade consumidora e da central geradora</w:t>
      </w:r>
      <w:r w:rsidR="00572254">
        <w:t xml:space="preserve">; </w:t>
      </w:r>
      <w:r w:rsidRPr="00572254">
        <w:t>Instalação e manutenção</w:t>
      </w:r>
      <w:r w:rsidR="00572254">
        <w:t xml:space="preserve">; </w:t>
      </w:r>
      <w:r w:rsidR="00D36313" w:rsidRPr="00572254">
        <w:t xml:space="preserve">localização </w:t>
      </w:r>
      <w:r w:rsidRPr="00572254">
        <w:t>(rural ou urbana)</w:t>
      </w:r>
      <w:r w:rsidR="00572254">
        <w:t xml:space="preserve">; </w:t>
      </w:r>
      <w:r w:rsidR="00D36313" w:rsidRPr="00572254">
        <w:t xml:space="preserve">tarifa </w:t>
      </w:r>
      <w:r w:rsidRPr="00572254">
        <w:t>da distribuidora à qual a unidade consumidora está submetida</w:t>
      </w:r>
      <w:r w:rsidR="00572254">
        <w:t xml:space="preserve">; </w:t>
      </w:r>
      <w:r w:rsidR="00D36313" w:rsidRPr="00572254">
        <w:t xml:space="preserve">incidência </w:t>
      </w:r>
      <w:r w:rsidRPr="00572254">
        <w:t>de impostos federais e estaduais</w:t>
      </w:r>
      <w:r w:rsidR="00572254">
        <w:t xml:space="preserve">; </w:t>
      </w:r>
      <w:r w:rsidR="00D36313" w:rsidRPr="00572254">
        <w:t xml:space="preserve">condições </w:t>
      </w:r>
      <w:r w:rsidRPr="00572254">
        <w:t>de pagamento/financiamento do projeto</w:t>
      </w:r>
      <w:r w:rsidR="00572254">
        <w:t>;</w:t>
      </w:r>
      <w:r w:rsidRPr="00572254">
        <w:t xml:space="preserve"> e </w:t>
      </w:r>
      <w:r w:rsidR="00D36313" w:rsidRPr="00572254">
        <w:t xml:space="preserve">existência </w:t>
      </w:r>
      <w:r w:rsidRPr="00572254">
        <w:t>de outras unidades consumidoras que possam usufruir dos créditos do sistema de compensação de energia elétrica.</w:t>
      </w:r>
    </w:p>
    <w:p w:rsidR="00492480" w:rsidRPr="00572254" w:rsidRDefault="00492480" w:rsidP="00572254">
      <w:pPr>
        <w:pStyle w:val="para"/>
      </w:pPr>
      <w:r w:rsidRPr="00492480">
        <w:t>Outros fatores característicos de sistemas de geração distribuída que</w:t>
      </w:r>
      <w:r w:rsidR="00922457">
        <w:t xml:space="preserve"> tendem </w:t>
      </w:r>
      <w:proofErr w:type="gramStart"/>
      <w:r w:rsidR="0022126D">
        <w:t>a</w:t>
      </w:r>
      <w:proofErr w:type="gramEnd"/>
      <w:r w:rsidRPr="00492480">
        <w:t xml:space="preserve"> aumenta</w:t>
      </w:r>
      <w:r w:rsidR="00922457">
        <w:t>r</w:t>
      </w:r>
      <w:r w:rsidRPr="00492480">
        <w:t xml:space="preserve"> o</w:t>
      </w:r>
      <w:r w:rsidR="00922457">
        <w:t xml:space="preserve"> tempo e o</w:t>
      </w:r>
      <w:r w:rsidRPr="00492480">
        <w:t xml:space="preserve"> </w:t>
      </w:r>
      <w:r w:rsidR="00922457">
        <w:t>esforço</w:t>
      </w:r>
      <w:r w:rsidRPr="00492480">
        <w:t xml:space="preserve"> de procura pré-compra são:</w:t>
      </w:r>
      <w:r w:rsidR="00572254">
        <w:t xml:space="preserve"> o</w:t>
      </w:r>
      <w:r w:rsidRPr="00572254">
        <w:t>s sistemas de geração distribuída são produtos de longa duração, com horizontes de projeto de 20 anos normalmente;</w:t>
      </w:r>
      <w:r w:rsidR="00572254">
        <w:t xml:space="preserve"> o</w:t>
      </w:r>
      <w:r w:rsidRPr="00572254">
        <w:t xml:space="preserve"> investimento inicial é alto;</w:t>
      </w:r>
      <w:r w:rsidR="00572254">
        <w:t xml:space="preserve"> e</w:t>
      </w:r>
      <w:r w:rsidRPr="00572254">
        <w:t>xistem muitos fornecedores disponíveis;</w:t>
      </w:r>
      <w:r w:rsidR="00572254">
        <w:t xml:space="preserve"> h</w:t>
      </w:r>
      <w:r w:rsidRPr="00572254">
        <w:t>á muita variação nas características, como fonte de energia, tecnologia, dimensão do sistema, opção de sistema de armazenamento de energia, etc.; e</w:t>
      </w:r>
      <w:r w:rsidR="00572254">
        <w:t xml:space="preserve"> é </w:t>
      </w:r>
      <w:r w:rsidRPr="00572254">
        <w:t>um mercado recente, que vem sofrendo ajustes e revisões normativos e regulatórios significativos e ainda é pouco conhecido pelos consumidores.</w:t>
      </w:r>
    </w:p>
    <w:p w:rsidR="00492480" w:rsidRDefault="00492480" w:rsidP="00492480">
      <w:pPr>
        <w:pStyle w:val="para"/>
      </w:pPr>
      <w:r>
        <w:t>A</w:t>
      </w:r>
      <w:r w:rsidRPr="00175C15">
        <w:t xml:space="preserve"> viabilidade econômica</w:t>
      </w:r>
      <w:r>
        <w:t xml:space="preserve"> dos sistemas de geração distribuída</w:t>
      </w:r>
      <w:r w:rsidRPr="00175C15">
        <w:t xml:space="preserve"> </w:t>
      </w:r>
      <w:r>
        <w:t>resulta fundamentalmente da diferença entre</w:t>
      </w:r>
      <w:r w:rsidRPr="00175C15">
        <w:t xml:space="preserve"> </w:t>
      </w:r>
      <w:r>
        <w:t>o custo da energia gerada</w:t>
      </w:r>
      <w:r w:rsidRPr="00175C15">
        <w:t xml:space="preserve"> e a tarifa final </w:t>
      </w:r>
      <w:r w:rsidR="00240303">
        <w:t>para</w:t>
      </w:r>
      <w:r w:rsidRPr="00175C15">
        <w:t xml:space="preserve"> consumidor.</w:t>
      </w:r>
      <w:r>
        <w:t xml:space="preserve"> O preço da energia gerada pelo sistema de geração distribuída depende dos custos dos equipamentos do sistema, do recurso energético disponível no local, do desempenho do sistema de geração, de área tecnicamente viável para a instalação do sistema na área de concessão a qual a unidade consumidora beneficiada pertence e de linhas de crédito e condições de financiamento do sistema.</w:t>
      </w:r>
      <w:r w:rsidRPr="00175C15">
        <w:t xml:space="preserve"> </w:t>
      </w:r>
      <w:r>
        <w:t xml:space="preserve">O alto investimento inicial de projetos de sistema de geração renovável é um dos </w:t>
      </w:r>
      <w:r>
        <w:lastRenderedPageBreak/>
        <w:t>principais obstáculos ao desenvolvimento, mas que pode ser contornado por condições de financiamento compatíveis com a economia obtida com a redução da conta de energia viabilizada pelo Sistema de Compensação de Energia Elétrica.</w:t>
      </w:r>
    </w:p>
    <w:p w:rsidR="00492480" w:rsidRDefault="00543E8F" w:rsidP="00492480">
      <w:pPr>
        <w:pStyle w:val="para"/>
      </w:pPr>
      <w:r>
        <w:t>No caso da geração eólica, a</w:t>
      </w:r>
      <w:r w:rsidR="00492480">
        <w:t xml:space="preserve"> produção de energia elétrica de um aerogerador é altamente dependente da velocidade do vento no local da instalação, pois a potência eólica disponível é proporcional ao cubo da velocidade do vento. Entretanto, existe uma série de incertezas inerentes na avaliação da e com efeitos consideráveis na produção de energia, como: medição do vento, instalação, variação interanual do vento e desempenho do aerogerador.</w:t>
      </w:r>
    </w:p>
    <w:p w:rsidR="0048518D" w:rsidRDefault="00543E8F" w:rsidP="0048518D">
      <w:pPr>
        <w:pStyle w:val="para"/>
      </w:pPr>
      <w:r>
        <w:t>O vento</w:t>
      </w:r>
      <w:r w:rsidR="00492480">
        <w:t xml:space="preserve"> apresenta uma natureza imprevisível e bastante variável no tempo e também no espaço. A velocidade do vento em particular é influenciada por vários fatores, como a localização geográfica, obstáculos próximos como construções e </w:t>
      </w:r>
      <w:r>
        <w:t>á</w:t>
      </w:r>
      <w:r w:rsidR="00492480">
        <w:t>rvores, e a altura do aerogerador acima do nível do solo ou do topo do telhado. A instalação inadequada pode comprometer seriame</w:t>
      </w:r>
      <w:r>
        <w:t xml:space="preserve">nte o desempenho do aerogerador, pois </w:t>
      </w:r>
      <w:proofErr w:type="gramStart"/>
      <w:r>
        <w:t xml:space="preserve">a existência de obstáculos </w:t>
      </w:r>
      <w:r w:rsidRPr="007E4A36">
        <w:t>significativos como edificações altas, árvores ou morros tendem</w:t>
      </w:r>
      <w:proofErr w:type="gramEnd"/>
      <w:r w:rsidRPr="007E4A36">
        <w:t xml:space="preserve"> a reduzir a velocidade do vento e aumentar a turbulência</w:t>
      </w:r>
      <w:r w:rsidR="00240303" w:rsidRPr="007E4A36">
        <w:t xml:space="preserve"> </w:t>
      </w:r>
      <w:sdt>
        <w:sdtPr>
          <w:id w:val="-719510098"/>
          <w:citation/>
        </w:sdtPr>
        <w:sdtContent>
          <w:r w:rsidR="00940D78" w:rsidRPr="007E4A36">
            <w:fldChar w:fldCharType="begin"/>
          </w:r>
          <w:r w:rsidR="00240303" w:rsidRPr="007E4A36">
            <w:instrText xml:space="preserve"> CITATION EST14 \l 1046 </w:instrText>
          </w:r>
          <w:r w:rsidR="00940D78" w:rsidRPr="007E4A36">
            <w:fldChar w:fldCharType="separate"/>
          </w:r>
          <w:r w:rsidR="00D96765">
            <w:rPr>
              <w:noProof/>
            </w:rPr>
            <w:t>[</w:t>
          </w:r>
          <w:hyperlink w:anchor="EST14" w:history="1">
            <w:r w:rsidR="00D96765">
              <w:rPr>
                <w:noProof/>
              </w:rPr>
              <w:t>7</w:t>
            </w:r>
          </w:hyperlink>
          <w:r w:rsidR="00D96765">
            <w:rPr>
              <w:noProof/>
            </w:rPr>
            <w:t>]</w:t>
          </w:r>
          <w:r w:rsidR="00940D78" w:rsidRPr="007E4A36">
            <w:fldChar w:fldCharType="end"/>
          </w:r>
        </w:sdtContent>
      </w:sdt>
      <w:r w:rsidRPr="007E4A36">
        <w:t>.</w:t>
      </w:r>
      <w:r w:rsidR="00E91149" w:rsidRPr="00E91149">
        <w:t xml:space="preserve"> </w:t>
      </w:r>
      <w:r w:rsidR="00F932FE">
        <w:t>Também</w:t>
      </w:r>
      <w:r w:rsidR="00E91149">
        <w:t xml:space="preserve"> existe a incerteza associada à </w:t>
      </w:r>
      <w:r w:rsidR="00C20425">
        <w:t>manutenção</w:t>
      </w:r>
      <w:r w:rsidR="00D7118B">
        <w:t xml:space="preserve"> no futuro</w:t>
      </w:r>
      <w:r w:rsidR="00C20425">
        <w:t xml:space="preserve"> das condições de contorno do sistema, onde a </w:t>
      </w:r>
      <w:r w:rsidR="00E91149">
        <w:t>dinâmica de transformação do ambiente</w:t>
      </w:r>
      <w:r w:rsidR="00C20425">
        <w:t xml:space="preserve"> ao redor da instalação</w:t>
      </w:r>
      <w:r w:rsidR="00E91149">
        <w:t xml:space="preserve"> pode afetar negativamente o vento disponível e comprometer o desempenho e a rentabilidade do sistema</w:t>
      </w:r>
      <w:r w:rsidR="00C20425">
        <w:t>.</w:t>
      </w:r>
      <w:r w:rsidR="0048518D">
        <w:t xml:space="preserve"> Além disso, é raro existirem dados de vento confiáveis, disponíveis e representativos do local previsto para instalação de um APP e o custo de realização de uma campanha adequada de medição do vento pode inviabilizar financeiramente o projeto.</w:t>
      </w:r>
    </w:p>
    <w:p w:rsidR="00492480" w:rsidRDefault="00492480" w:rsidP="00492480">
      <w:pPr>
        <w:pStyle w:val="para"/>
      </w:pPr>
      <w:r>
        <w:t>Outros fatores importantes que podem influenciar bastante a avaliação do consumidor são: (i) o alcance dos esforços de divulgação e promoção da geração distribuída nas esferas governamentais e institucionais, de propaganda das empresas produtoras e comercializadoras de sistemas, e a percepção dos consumidores em relação a estes estímulos publicitários; e (</w:t>
      </w:r>
      <w:proofErr w:type="gramStart"/>
      <w:r>
        <w:t>ii</w:t>
      </w:r>
      <w:proofErr w:type="gramEnd"/>
      <w:r>
        <w:t>) a expectativa do consumidor que pode estar alinhada em diferentes intensidades, por exemplo, com o aumento das despesas de energia, a preocupação com</w:t>
      </w:r>
      <w:r w:rsidR="00DD57AC">
        <w:t xml:space="preserve"> a</w:t>
      </w:r>
      <w:r>
        <w:t xml:space="preserve"> escassez global de energia e</w:t>
      </w:r>
      <w:r w:rsidR="00DD57AC">
        <w:t xml:space="preserve"> o combate </w:t>
      </w:r>
      <w:r>
        <w:t>as mudanças climática e o aquecimento global.</w:t>
      </w:r>
    </w:p>
    <w:p w:rsidR="00121C02" w:rsidRDefault="00121C02" w:rsidP="00121C02">
      <w:pPr>
        <w:pStyle w:val="para"/>
      </w:pPr>
      <w:r>
        <w:t>A geração distribuída</w:t>
      </w:r>
      <w:r w:rsidR="001D5821">
        <w:t xml:space="preserve"> baseada em “energia verde”</w:t>
      </w:r>
      <w:r>
        <w:t xml:space="preserve"> é uma alternativa de oferta de energia elétrica para o mercado cativo de consumidores e produz benefícios diretos e indiretos para o proprietário do sistema de geração e externalidades positivas nas esferas técnicas, econômica, social e ambiental. Apesar da sociedade como um todo se beneficiar da </w:t>
      </w:r>
      <w:r w:rsidR="001D5821">
        <w:t>“energia verde”</w:t>
      </w:r>
      <w:r>
        <w:t xml:space="preserve">, o consumidor </w:t>
      </w:r>
      <w:r w:rsidR="00190BCC">
        <w:t xml:space="preserve">verde </w:t>
      </w:r>
      <w:r>
        <w:t xml:space="preserve">experimenta benefícios emocionais adicionais pela contribuição para independência energética e </w:t>
      </w:r>
      <w:r w:rsidRPr="007E4A36">
        <w:t xml:space="preserve">mudança climática </w:t>
      </w:r>
      <w:sdt>
        <w:sdtPr>
          <w:id w:val="-702322084"/>
          <w:citation/>
        </w:sdtPr>
        <w:sdtContent>
          <w:r w:rsidR="00940D78" w:rsidRPr="007E4A36">
            <w:fldChar w:fldCharType="begin"/>
          </w:r>
          <w:r w:rsidR="000E2D52" w:rsidRPr="007E4A36">
            <w:instrText xml:space="preserve"> CITATION Har12 \l 1046 </w:instrText>
          </w:r>
          <w:r w:rsidR="00940D78" w:rsidRPr="007E4A36">
            <w:fldChar w:fldCharType="separate"/>
          </w:r>
          <w:r w:rsidR="00D96765">
            <w:rPr>
              <w:noProof/>
            </w:rPr>
            <w:t>[</w:t>
          </w:r>
          <w:hyperlink w:anchor="Har12" w:history="1">
            <w:r w:rsidR="00D96765">
              <w:rPr>
                <w:noProof/>
              </w:rPr>
              <w:t>8</w:t>
            </w:r>
          </w:hyperlink>
          <w:r w:rsidR="00D96765">
            <w:rPr>
              <w:noProof/>
            </w:rPr>
            <w:t>]</w:t>
          </w:r>
          <w:r w:rsidR="00940D78" w:rsidRPr="007E4A36">
            <w:fldChar w:fldCharType="end"/>
          </w:r>
        </w:sdtContent>
      </w:sdt>
      <w:r w:rsidRPr="007E4A36">
        <w:t xml:space="preserve">.  </w:t>
      </w:r>
      <w:proofErr w:type="spellStart"/>
      <w:r w:rsidRPr="007E4A36">
        <w:t>Sangroya</w:t>
      </w:r>
      <w:proofErr w:type="spellEnd"/>
      <w:r>
        <w:t xml:space="preserve"> e </w:t>
      </w:r>
      <w:proofErr w:type="spellStart"/>
      <w:r>
        <w:t>Nayak</w:t>
      </w:r>
      <w:proofErr w:type="spellEnd"/>
      <w:r>
        <w:t xml:space="preserve"> (2017) identificam em seu </w:t>
      </w:r>
      <w:r>
        <w:lastRenderedPageBreak/>
        <w:t xml:space="preserve">estudo que não é somente o aspecto financeiro que leva os consumidores a decidir adotar a </w:t>
      </w:r>
      <w:r w:rsidR="001D5821">
        <w:t>“</w:t>
      </w:r>
      <w:r>
        <w:t>energia verde</w:t>
      </w:r>
      <w:r w:rsidR="001D5821">
        <w:t>”</w:t>
      </w:r>
      <w:r>
        <w:t xml:space="preserve">, sendo movido também por </w:t>
      </w:r>
      <w:r w:rsidRPr="007E4A36">
        <w:t xml:space="preserve">considerações emocionais e sociais </w:t>
      </w:r>
      <w:sdt>
        <w:sdtPr>
          <w:id w:val="463468697"/>
          <w:citation/>
        </w:sdtPr>
        <w:sdtContent>
          <w:r w:rsidR="00940D78" w:rsidRPr="007E4A36">
            <w:fldChar w:fldCharType="begin"/>
          </w:r>
          <w:r w:rsidRPr="007E4A36">
            <w:instrText xml:space="preserve">CITATION EspaçoReservado1 \l 1046 </w:instrText>
          </w:r>
          <w:r w:rsidR="00940D78" w:rsidRPr="007E4A36">
            <w:fldChar w:fldCharType="separate"/>
          </w:r>
          <w:r w:rsidR="00D96765">
            <w:rPr>
              <w:noProof/>
            </w:rPr>
            <w:t>[</w:t>
          </w:r>
          <w:hyperlink w:anchor="EspaçoReservado1" w:history="1">
            <w:r w:rsidR="00D96765">
              <w:rPr>
                <w:noProof/>
              </w:rPr>
              <w:t>9</w:t>
            </w:r>
          </w:hyperlink>
          <w:r w:rsidR="00D96765">
            <w:rPr>
              <w:noProof/>
            </w:rPr>
            <w:t>]</w:t>
          </w:r>
          <w:r w:rsidR="00940D78" w:rsidRPr="007E4A36">
            <w:fldChar w:fldCharType="end"/>
          </w:r>
        </w:sdtContent>
      </w:sdt>
      <w:r w:rsidRPr="007E4A36">
        <w:t>.</w:t>
      </w:r>
      <w:r>
        <w:t xml:space="preserve"> </w:t>
      </w:r>
    </w:p>
    <w:p w:rsidR="00492480" w:rsidRDefault="00492480" w:rsidP="00492480">
      <w:pPr>
        <w:pStyle w:val="para"/>
      </w:pPr>
      <w:r>
        <w:t>A dificuldade de determinar e quantificar os benefícios</w:t>
      </w:r>
      <w:r w:rsidRPr="00C54476">
        <w:t xml:space="preserve"> socioambientais </w:t>
      </w:r>
      <w:r>
        <w:t xml:space="preserve">associados à geração distribuída torna a avaliação deste objetivo muito subjetiva e, portanto, altamente influenciada por características psicológicas do indivíduo, como crença, percepção, valores, personalidade e atitudes. </w:t>
      </w:r>
      <w:r w:rsidR="006649FE">
        <w:t>Dentro d</w:t>
      </w:r>
      <w:r>
        <w:t>a visão emocional do consumidor, o objetivo de busca por benefícios socioambientais pode ser enquadrado em: (i) necessidade de segurança, com foco na crença de preservação do meio ambiente e garantia de recursos para as gerações futuras; (</w:t>
      </w:r>
      <w:proofErr w:type="gramStart"/>
      <w:r>
        <w:t>ii</w:t>
      </w:r>
      <w:proofErr w:type="gramEnd"/>
      <w:r>
        <w:t>) necessidade social, compartilhar a cultura de proteção do meio ambiente, fazer parte de um grupo de pessoas inovadoras e progressistas, etc.; (iii) necessidade egoísta, como melhora</w:t>
      </w:r>
      <w:r w:rsidR="004472EA">
        <w:t>r</w:t>
      </w:r>
      <w:r>
        <w:t xml:space="preserve"> a autoestima por estar contribuindo para um mundo melhor, estar na vanguarda da tecnologia, ganhar reputação de pessoa inovadora, com consciência e responsabilidade socioambiental; e (iv) necessidade de </w:t>
      </w:r>
      <w:proofErr w:type="spellStart"/>
      <w:r>
        <w:t>auto-realização</w:t>
      </w:r>
      <w:proofErr w:type="spellEnd"/>
      <w:r>
        <w:t xml:space="preserve">, associada ao sentimento de poder contribuir para preservação do meio ambiente </w:t>
      </w:r>
      <w:r w:rsidR="00D34A7A">
        <w:t>e o bem estar social</w:t>
      </w:r>
      <w:r>
        <w:t>.</w:t>
      </w:r>
    </w:p>
    <w:p w:rsidR="006D2C3E" w:rsidRDefault="006D2C3E" w:rsidP="008C3811">
      <w:pPr>
        <w:pStyle w:val="Ttulo1"/>
        <w:rPr>
          <w:lang w:val="pt-BR"/>
        </w:rPr>
      </w:pPr>
      <w:r w:rsidRPr="007D59BD">
        <w:rPr>
          <w:lang w:val="pt-BR"/>
        </w:rPr>
        <w:t xml:space="preserve">Metodologia e análise </w:t>
      </w:r>
    </w:p>
    <w:p w:rsidR="003B0239" w:rsidRPr="007A7CAB" w:rsidRDefault="00F04714" w:rsidP="00412994">
      <w:pPr>
        <w:pStyle w:val="para"/>
        <w:rPr>
          <w:lang w:eastAsia="zh-CN"/>
        </w:rPr>
      </w:pPr>
      <w:r w:rsidRPr="00F04714">
        <w:rPr>
          <w:lang w:eastAsia="zh-CN"/>
        </w:rPr>
        <w:t xml:space="preserve">A coleta de informações foi feita por meio de questionário </w:t>
      </w:r>
      <w:proofErr w:type="spellStart"/>
      <w:proofErr w:type="gramStart"/>
      <w:r w:rsidRPr="00F04714">
        <w:rPr>
          <w:lang w:eastAsia="zh-CN"/>
        </w:rPr>
        <w:t>auto-administrado</w:t>
      </w:r>
      <w:proofErr w:type="spellEnd"/>
      <w:proofErr w:type="gramEnd"/>
      <w:r>
        <w:rPr>
          <w:lang w:eastAsia="zh-CN"/>
        </w:rPr>
        <w:t xml:space="preserve"> disponível na internet</w:t>
      </w:r>
      <w:r w:rsidR="005E0B2A">
        <w:rPr>
          <w:lang w:eastAsia="zh-CN"/>
        </w:rPr>
        <w:t xml:space="preserve"> no </w:t>
      </w:r>
      <w:proofErr w:type="spellStart"/>
      <w:r w:rsidR="005E0B2A" w:rsidRPr="005E0B2A">
        <w:rPr>
          <w:i/>
          <w:lang w:eastAsia="zh-CN"/>
        </w:rPr>
        <w:t>minisite</w:t>
      </w:r>
      <w:proofErr w:type="spellEnd"/>
      <w:r w:rsidR="005E0B2A">
        <w:rPr>
          <w:lang w:eastAsia="zh-CN"/>
        </w:rPr>
        <w:t xml:space="preserve"> MAPP</w:t>
      </w:r>
      <w:r w:rsidR="00CB15EA">
        <w:rPr>
          <w:rStyle w:val="Refdenotaderodap"/>
          <w:lang w:eastAsia="zh-CN"/>
        </w:rPr>
        <w:footnoteReference w:id="2"/>
      </w:r>
      <w:r>
        <w:rPr>
          <w:lang w:eastAsia="zh-CN"/>
        </w:rPr>
        <w:t xml:space="preserve"> não só para pessoas que </w:t>
      </w:r>
      <w:r w:rsidRPr="00F04714">
        <w:rPr>
          <w:lang w:eastAsia="zh-CN"/>
        </w:rPr>
        <w:t xml:space="preserve">adquiriram um </w:t>
      </w:r>
      <w:r>
        <w:rPr>
          <w:lang w:eastAsia="zh-CN"/>
        </w:rPr>
        <w:t xml:space="preserve">APP como </w:t>
      </w:r>
      <w:r w:rsidRPr="00F04714">
        <w:rPr>
          <w:lang w:eastAsia="zh-CN"/>
        </w:rPr>
        <w:t xml:space="preserve">também </w:t>
      </w:r>
      <w:r>
        <w:rPr>
          <w:lang w:eastAsia="zh-CN"/>
        </w:rPr>
        <w:t>para</w:t>
      </w:r>
      <w:r w:rsidRPr="00F04714">
        <w:rPr>
          <w:lang w:eastAsia="zh-CN"/>
        </w:rPr>
        <w:t xml:space="preserve"> aquel</w:t>
      </w:r>
      <w:r>
        <w:rPr>
          <w:lang w:eastAsia="zh-CN"/>
        </w:rPr>
        <w:t>a</w:t>
      </w:r>
      <w:r w:rsidRPr="00F04714">
        <w:rPr>
          <w:lang w:eastAsia="zh-CN"/>
        </w:rPr>
        <w:t>s que tinham interesse em adquirir a tecnologia</w:t>
      </w:r>
      <w:r w:rsidR="00CB15EA">
        <w:rPr>
          <w:lang w:eastAsia="zh-CN"/>
        </w:rPr>
        <w:t>, a fim de obter uma amostra mais representativa d</w:t>
      </w:r>
      <w:r w:rsidR="00CB15EA" w:rsidRPr="00F04714">
        <w:rPr>
          <w:lang w:eastAsia="zh-CN"/>
        </w:rPr>
        <w:t>o mercado potencial</w:t>
      </w:r>
      <w:r w:rsidR="00233B02" w:rsidRPr="00F04714">
        <w:rPr>
          <w:lang w:eastAsia="zh-CN"/>
        </w:rPr>
        <w:t xml:space="preserve"> considerando a incipiência do mercado</w:t>
      </w:r>
      <w:r w:rsidR="0050156B">
        <w:rPr>
          <w:lang w:eastAsia="zh-CN"/>
        </w:rPr>
        <w:t>,</w:t>
      </w:r>
      <w:r w:rsidR="00233B02" w:rsidRPr="00F04714">
        <w:rPr>
          <w:lang w:eastAsia="zh-CN"/>
        </w:rPr>
        <w:t xml:space="preserve"> </w:t>
      </w:r>
      <w:r w:rsidR="0050156B">
        <w:t>restrições orçamentárias e o potencial de alcance</w:t>
      </w:r>
      <w:r w:rsidR="005E0B2A">
        <w:t xml:space="preserve"> ao público</w:t>
      </w:r>
      <w:r w:rsidR="00CB15EA">
        <w:rPr>
          <w:lang w:eastAsia="zh-CN"/>
        </w:rPr>
        <w:t>.</w:t>
      </w:r>
      <w:r w:rsidR="00233B02" w:rsidRPr="00F04714">
        <w:rPr>
          <w:lang w:eastAsia="zh-CN"/>
        </w:rPr>
        <w:t xml:space="preserve"> </w:t>
      </w:r>
      <w:r w:rsidR="00A520EC">
        <w:rPr>
          <w:snapToGrid w:val="0"/>
          <w:szCs w:val="24"/>
        </w:rPr>
        <w:t xml:space="preserve">No período de </w:t>
      </w:r>
      <w:r w:rsidR="00A520EC" w:rsidRPr="00A520EC">
        <w:rPr>
          <w:snapToGrid w:val="0"/>
          <w:szCs w:val="24"/>
        </w:rPr>
        <w:t>13/11/14 a 24/05/17</w:t>
      </w:r>
      <w:r w:rsidR="00A520EC">
        <w:rPr>
          <w:snapToGrid w:val="0"/>
          <w:szCs w:val="24"/>
        </w:rPr>
        <w:t xml:space="preserve"> foram obtidos 242 questionários preenchidos, o que sugere</w:t>
      </w:r>
      <w:r w:rsidR="00A520EC" w:rsidRPr="00A520EC">
        <w:rPr>
          <w:snapToGrid w:val="0"/>
          <w:szCs w:val="24"/>
        </w:rPr>
        <w:t xml:space="preserve"> que houve boa aceitação do público quanto à pesquisa/tema, e que o estudo</w:t>
      </w:r>
      <w:r w:rsidR="00854193">
        <w:rPr>
          <w:snapToGrid w:val="0"/>
          <w:szCs w:val="24"/>
        </w:rPr>
        <w:t xml:space="preserve"> parece</w:t>
      </w:r>
      <w:r w:rsidR="00A520EC" w:rsidRPr="00A520EC">
        <w:rPr>
          <w:snapToGrid w:val="0"/>
          <w:szCs w:val="24"/>
        </w:rPr>
        <w:t xml:space="preserve"> reflet</w:t>
      </w:r>
      <w:r w:rsidR="00854193">
        <w:rPr>
          <w:snapToGrid w:val="0"/>
          <w:szCs w:val="24"/>
        </w:rPr>
        <w:t>ir</w:t>
      </w:r>
      <w:r w:rsidR="00A520EC" w:rsidRPr="00A520EC">
        <w:rPr>
          <w:snapToGrid w:val="0"/>
          <w:szCs w:val="24"/>
        </w:rPr>
        <w:t xml:space="preserve"> o interesse da sociedade</w:t>
      </w:r>
    </w:p>
    <w:p w:rsidR="00407968" w:rsidRDefault="003B0239" w:rsidP="00EB6286">
      <w:pPr>
        <w:pStyle w:val="para"/>
      </w:pPr>
      <w:r>
        <w:t xml:space="preserve">Os </w:t>
      </w:r>
      <w:r w:rsidR="00746E8C">
        <w:t xml:space="preserve">respondentes </w:t>
      </w:r>
      <w:r>
        <w:t>estão localizados principalmente nas regiões Sudeste (54%), Nordeste (21%) e Sul (17%)</w:t>
      </w:r>
      <w:r w:rsidR="00F46B99">
        <w:t xml:space="preserve">. </w:t>
      </w:r>
      <w:r w:rsidR="00A00D93">
        <w:t>Na</w:t>
      </w:r>
      <w:r w:rsidR="00F74B32">
        <w:t xml:space="preserve"> amostra total dos</w:t>
      </w:r>
      <w:r w:rsidR="00D165AE">
        <w:t xml:space="preserve"> respondentes: </w:t>
      </w:r>
      <w:r w:rsidR="00746E8C">
        <w:t>59% t</w:t>
      </w:r>
      <w:r w:rsidR="00D165AE">
        <w:t>ê</w:t>
      </w:r>
      <w:r w:rsidR="00746E8C">
        <w:t>m idade igual ou superior a 40 anos</w:t>
      </w:r>
      <w:r w:rsidR="00D165AE">
        <w:t xml:space="preserve">, </w:t>
      </w:r>
      <w:r w:rsidR="00D165AE" w:rsidRPr="00407968">
        <w:t xml:space="preserve">90% </w:t>
      </w:r>
      <w:r w:rsidR="00D165AE">
        <w:t>são</w:t>
      </w:r>
      <w:r w:rsidR="00D165AE" w:rsidRPr="00407968">
        <w:t xml:space="preserve"> do sexo masculino</w:t>
      </w:r>
      <w:r w:rsidR="00D165AE">
        <w:t xml:space="preserve"> e </w:t>
      </w:r>
      <w:r w:rsidR="00D165AE" w:rsidRPr="00D165AE">
        <w:t xml:space="preserve">78% </w:t>
      </w:r>
      <w:r w:rsidR="00D165AE">
        <w:t>têm</w:t>
      </w:r>
      <w:r w:rsidR="00D165AE" w:rsidRPr="00D165AE">
        <w:t xml:space="preserve"> no mínimo curso superior</w:t>
      </w:r>
      <w:r w:rsidR="00746E8C">
        <w:t>. Considerando somente os pesquisados com idade igual ou superior a 20 anos, 60% do total dos pesquisados tem idade igual ou superior a 40 anos contra 52% da população brasileira</w:t>
      </w:r>
      <w:r w:rsidR="00B00753">
        <w:t xml:space="preserve"> </w:t>
      </w:r>
      <w:r w:rsidR="00B00753" w:rsidRPr="007E4A36">
        <w:t>em 2016</w:t>
      </w:r>
      <w:r w:rsidR="00746E8C" w:rsidRPr="007E4A36">
        <w:t xml:space="preserve"> </w:t>
      </w:r>
      <w:sdt>
        <w:sdtPr>
          <w:id w:val="2075934348"/>
          <w:citation/>
        </w:sdtPr>
        <w:sdtContent>
          <w:r w:rsidR="00940D78" w:rsidRPr="007E4A36">
            <w:fldChar w:fldCharType="begin"/>
          </w:r>
          <w:r w:rsidR="00746E8C" w:rsidRPr="007E4A36">
            <w:instrText xml:space="preserve"> CITATION IBG15 \l 1046 </w:instrText>
          </w:r>
          <w:r w:rsidR="00940D78" w:rsidRPr="007E4A36">
            <w:fldChar w:fldCharType="separate"/>
          </w:r>
          <w:r w:rsidR="00D96765">
            <w:rPr>
              <w:noProof/>
            </w:rPr>
            <w:t>[</w:t>
          </w:r>
          <w:hyperlink w:anchor="IBG15" w:history="1">
            <w:r w:rsidR="00D96765">
              <w:rPr>
                <w:noProof/>
              </w:rPr>
              <w:t>10</w:t>
            </w:r>
          </w:hyperlink>
          <w:r w:rsidR="00D96765">
            <w:rPr>
              <w:noProof/>
            </w:rPr>
            <w:t>]</w:t>
          </w:r>
          <w:r w:rsidR="00940D78" w:rsidRPr="007E4A36">
            <w:fldChar w:fldCharType="end"/>
          </w:r>
        </w:sdtContent>
      </w:sdt>
      <w:r w:rsidR="00746E8C" w:rsidRPr="007E4A36">
        <w:t>.</w:t>
      </w:r>
      <w:r w:rsidR="00407968" w:rsidRPr="007E4A36">
        <w:t xml:space="preserve"> </w:t>
      </w:r>
      <w:r w:rsidR="00D82C58" w:rsidRPr="007E4A36">
        <w:t>Cabe</w:t>
      </w:r>
      <w:r w:rsidR="00D82C58">
        <w:t xml:space="preserve"> destacar que no </w:t>
      </w:r>
      <w:r w:rsidR="00EB6286" w:rsidRPr="00EB6286">
        <w:t xml:space="preserve">contexto </w:t>
      </w:r>
      <w:r w:rsidR="00A01D30">
        <w:t>social</w:t>
      </w:r>
      <w:r w:rsidR="00EB6286" w:rsidRPr="00EB6286">
        <w:t xml:space="preserve">, </w:t>
      </w:r>
      <w:r w:rsidR="00407968" w:rsidRPr="00EB6286">
        <w:t>98% dos pesquisados possui no mínimo ensino médio completo, enquanto n</w:t>
      </w:r>
      <w:r w:rsidR="00EB6286" w:rsidRPr="00EB6286">
        <w:t>a população b</w:t>
      </w:r>
      <w:r w:rsidR="00407968" w:rsidRPr="00EB6286">
        <w:t>rasil</w:t>
      </w:r>
      <w:r w:rsidR="00EB6286" w:rsidRPr="00EB6286">
        <w:t>eira essa frequência era de</w:t>
      </w:r>
      <w:r w:rsidR="00407968" w:rsidRPr="00EB6286">
        <w:t xml:space="preserve"> 12</w:t>
      </w:r>
      <w:r w:rsidR="00407968" w:rsidRPr="007E4A36">
        <w:t>% do total em 201</w:t>
      </w:r>
      <w:r w:rsidR="00EB6286" w:rsidRPr="007E4A36">
        <w:t>5</w:t>
      </w:r>
      <w:r w:rsidR="00407968" w:rsidRPr="007E4A36">
        <w:t xml:space="preserve"> </w:t>
      </w:r>
      <w:sdt>
        <w:sdtPr>
          <w:id w:val="-1797677237"/>
          <w:citation/>
        </w:sdtPr>
        <w:sdtContent>
          <w:r w:rsidR="00940D78" w:rsidRPr="007E4A36">
            <w:fldChar w:fldCharType="begin"/>
          </w:r>
          <w:r w:rsidR="00D165AE" w:rsidRPr="007E4A36">
            <w:instrText xml:space="preserve"> CITATION IBG151 \l 1046 </w:instrText>
          </w:r>
          <w:r w:rsidR="00940D78" w:rsidRPr="007E4A36">
            <w:fldChar w:fldCharType="separate"/>
          </w:r>
          <w:r w:rsidR="00D96765">
            <w:rPr>
              <w:noProof/>
            </w:rPr>
            <w:t>[</w:t>
          </w:r>
          <w:hyperlink w:anchor="IBG151" w:history="1">
            <w:r w:rsidR="00D96765">
              <w:rPr>
                <w:noProof/>
              </w:rPr>
              <w:t>11</w:t>
            </w:r>
          </w:hyperlink>
          <w:r w:rsidR="00D96765">
            <w:rPr>
              <w:noProof/>
            </w:rPr>
            <w:t>]</w:t>
          </w:r>
          <w:r w:rsidR="00940D78" w:rsidRPr="007E4A36">
            <w:fldChar w:fldCharType="end"/>
          </w:r>
        </w:sdtContent>
      </w:sdt>
      <w:r w:rsidR="00407968" w:rsidRPr="007E4A36">
        <w:t>.</w:t>
      </w:r>
    </w:p>
    <w:p w:rsidR="00FD14E1" w:rsidRDefault="00B65FBD" w:rsidP="00090E4D">
      <w:pPr>
        <w:pStyle w:val="para"/>
      </w:pPr>
      <w:r>
        <w:t>O segmento de mercado que melhor representa a amostra é o residencial</w:t>
      </w:r>
      <w:r w:rsidR="00552F21">
        <w:t xml:space="preserve"> (</w:t>
      </w:r>
      <w:r>
        <w:t>76%</w:t>
      </w:r>
      <w:r w:rsidR="00552F21">
        <w:t>)</w:t>
      </w:r>
      <w:r>
        <w:t xml:space="preserve"> </w:t>
      </w:r>
      <w:r w:rsidR="00090E4D">
        <w:t>e o</w:t>
      </w:r>
      <w:r>
        <w:t xml:space="preserve"> consumo</w:t>
      </w:r>
      <w:r w:rsidR="00090E4D">
        <w:t xml:space="preserve"> mensal típico </w:t>
      </w:r>
      <w:r>
        <w:t>de energia elétrica é superior</w:t>
      </w:r>
      <w:r w:rsidR="00090E4D">
        <w:t xml:space="preserve"> a</w:t>
      </w:r>
      <w:r>
        <w:t xml:space="preserve"> 200 kWh em 74% </w:t>
      </w:r>
      <w:r w:rsidR="00090E4D">
        <w:t>das observações válidas</w:t>
      </w:r>
      <w:r>
        <w:t>.</w:t>
      </w:r>
      <w:r w:rsidR="00165B6A">
        <w:t xml:space="preserve"> </w:t>
      </w:r>
      <w:r w:rsidR="00165B6A" w:rsidRPr="00090E4D">
        <w:t xml:space="preserve">É </w:t>
      </w:r>
      <w:r w:rsidR="00165B6A" w:rsidRPr="00090E4D">
        <w:lastRenderedPageBreak/>
        <w:t>importante destacar que 65% dos pesquisado</w:t>
      </w:r>
      <w:r w:rsidR="00165B6A">
        <w:t>s</w:t>
      </w:r>
      <w:r w:rsidR="00165B6A" w:rsidRPr="00090E4D">
        <w:t xml:space="preserve"> cuja aplicação final é residencial tem rendimento familiar médio mensal superior a 5 s</w:t>
      </w:r>
      <w:r w:rsidR="00165B6A">
        <w:t xml:space="preserve">alários </w:t>
      </w:r>
      <w:r w:rsidR="00165B6A" w:rsidRPr="00090E4D">
        <w:t>m</w:t>
      </w:r>
      <w:r w:rsidR="00165B6A">
        <w:t>ínimos</w:t>
      </w:r>
      <w:r w:rsidR="00165B6A" w:rsidRPr="00090E4D">
        <w:t xml:space="preserve">, enquanto a população brasileira com rendimento domiciliar médio mensal acima de 5 </w:t>
      </w:r>
      <w:r w:rsidR="00552F21" w:rsidRPr="00090E4D">
        <w:t>s</w:t>
      </w:r>
      <w:r w:rsidR="00552F21">
        <w:t xml:space="preserve">alários </w:t>
      </w:r>
      <w:r w:rsidR="00552F21" w:rsidRPr="00090E4D">
        <w:t>m</w:t>
      </w:r>
      <w:r w:rsidR="00552F21">
        <w:t>ínimos</w:t>
      </w:r>
      <w:r w:rsidR="00552F21" w:rsidRPr="00090E4D">
        <w:t xml:space="preserve"> </w:t>
      </w:r>
      <w:r w:rsidR="00165B6A" w:rsidRPr="00090E4D">
        <w:t>era de 22</w:t>
      </w:r>
      <w:r w:rsidR="00165B6A" w:rsidRPr="007E4A36">
        <w:t xml:space="preserve">% em 2015 </w:t>
      </w:r>
      <w:sdt>
        <w:sdtPr>
          <w:id w:val="1110472596"/>
          <w:citation/>
        </w:sdtPr>
        <w:sdtContent>
          <w:r w:rsidR="00940D78" w:rsidRPr="007E4A36">
            <w:fldChar w:fldCharType="begin"/>
          </w:r>
          <w:r w:rsidR="00165B6A" w:rsidRPr="007E4A36">
            <w:instrText xml:space="preserve"> CITATION IBG15 \l 1046 </w:instrText>
          </w:r>
          <w:r w:rsidR="00940D78" w:rsidRPr="007E4A36">
            <w:fldChar w:fldCharType="separate"/>
          </w:r>
          <w:r w:rsidR="00D96765">
            <w:rPr>
              <w:noProof/>
            </w:rPr>
            <w:t>[</w:t>
          </w:r>
          <w:hyperlink w:anchor="IBG15" w:history="1">
            <w:r w:rsidR="00D96765">
              <w:rPr>
                <w:noProof/>
              </w:rPr>
              <w:t>10</w:t>
            </w:r>
          </w:hyperlink>
          <w:r w:rsidR="00D96765">
            <w:rPr>
              <w:noProof/>
            </w:rPr>
            <w:t>]</w:t>
          </w:r>
          <w:r w:rsidR="00940D78" w:rsidRPr="007E4A36">
            <w:fldChar w:fldCharType="end"/>
          </w:r>
        </w:sdtContent>
      </w:sdt>
      <w:r w:rsidR="00165B6A" w:rsidRPr="007E4A36">
        <w:t>.</w:t>
      </w:r>
    </w:p>
    <w:p w:rsidR="00AA2C4A" w:rsidRDefault="00AA2C4A" w:rsidP="00AA2C4A">
      <w:pPr>
        <w:pStyle w:val="para"/>
      </w:pPr>
      <w:r w:rsidRPr="003C2430">
        <w:t xml:space="preserve">Na </w:t>
      </w:r>
      <w:r w:rsidR="00BE3164">
        <w:t>pesquisa</w:t>
      </w:r>
      <w:r w:rsidRPr="003C2430">
        <w:t xml:space="preserve">, 74% dos </w:t>
      </w:r>
      <w:r w:rsidR="00BE3164">
        <w:t>entrevistados</w:t>
      </w:r>
      <w:r w:rsidRPr="003C2430">
        <w:t xml:space="preserve"> responderam que tinham interesse em comprar um APP indicando inclinação positiva</w:t>
      </w:r>
      <w:r w:rsidR="0039774C">
        <w:t xml:space="preserve"> em relação à tecnologia</w:t>
      </w:r>
      <w:r w:rsidRPr="003C2430">
        <w:t xml:space="preserve"> na percepç</w:t>
      </w:r>
      <w:r w:rsidR="00516801">
        <w:t xml:space="preserve">ão dos potenciais consumidores </w:t>
      </w:r>
    </w:p>
    <w:p w:rsidR="004F3AD7" w:rsidRDefault="001A4E43" w:rsidP="00F46B99">
      <w:pPr>
        <w:pStyle w:val="para"/>
      </w:pPr>
      <w:r w:rsidRPr="0041283C">
        <w:t>As principais desmotivações citadas foram: dúvidas sobre a produção de energia elétrica (26%)</w:t>
      </w:r>
      <w:r w:rsidR="0041283C">
        <w:t xml:space="preserve">, </w:t>
      </w:r>
      <w:r w:rsidRPr="0041283C">
        <w:t>área disponível (23%)</w:t>
      </w:r>
      <w:r w:rsidR="0041283C">
        <w:t xml:space="preserve"> e p</w:t>
      </w:r>
      <w:r w:rsidR="0041283C" w:rsidRPr="0041283C">
        <w:t>reço (17%)</w:t>
      </w:r>
      <w:r w:rsidR="0041283C">
        <w:t xml:space="preserve">. </w:t>
      </w:r>
      <w:r w:rsidR="00CE0F19">
        <w:t>Um</w:t>
      </w:r>
      <w:r w:rsidR="0041283C">
        <w:t xml:space="preserve"> destaque é </w:t>
      </w:r>
      <w:r w:rsidR="00A74DF5">
        <w:t>o</w:t>
      </w:r>
      <w:r w:rsidR="0041283C">
        <w:t xml:space="preserve"> preço, um fator econômic</w:t>
      </w:r>
      <w:r w:rsidR="00A74DF5">
        <w:t>o</w:t>
      </w:r>
      <w:r w:rsidR="00E46662">
        <w:t>,</w:t>
      </w:r>
      <w:r w:rsidR="00D82C58">
        <w:t xml:space="preserve"> que</w:t>
      </w:r>
      <w:r w:rsidR="0041283C">
        <w:t xml:space="preserve"> aparece entre as principais desmotivações.</w:t>
      </w:r>
      <w:r w:rsidR="00412994">
        <w:t xml:space="preserve"> </w:t>
      </w:r>
      <w:r w:rsidR="0041283C">
        <w:t xml:space="preserve">A principal motivação de interesse observada </w:t>
      </w:r>
      <w:r w:rsidR="005B2ECB">
        <w:t>foi</w:t>
      </w:r>
      <w:r w:rsidR="0041283C">
        <w:t xml:space="preserve"> </w:t>
      </w:r>
      <w:proofErr w:type="gramStart"/>
      <w:r w:rsidR="0041283C">
        <w:t>a</w:t>
      </w:r>
      <w:proofErr w:type="gramEnd"/>
      <w:r w:rsidR="0041283C">
        <w:t xml:space="preserve"> r</w:t>
      </w:r>
      <w:r w:rsidR="0041283C" w:rsidRPr="0041283C">
        <w:t>edução na conta de energia elétrica (65%)</w:t>
      </w:r>
      <w:r w:rsidR="0041283C">
        <w:t xml:space="preserve">. </w:t>
      </w:r>
      <w:r w:rsidR="0041283C" w:rsidRPr="0041283C">
        <w:t xml:space="preserve">Neste caso, o fator econômico é indicado como o foco principal de análise do potencial consumidor. </w:t>
      </w:r>
    </w:p>
    <w:p w:rsidR="004F3AD7" w:rsidRPr="004F3AD7" w:rsidRDefault="007B5B44" w:rsidP="00F46B99">
      <w:pPr>
        <w:pStyle w:val="para"/>
      </w:pPr>
      <w:r>
        <w:t>A redução na conta de energia elétrica</w:t>
      </w:r>
      <w:r w:rsidRPr="007B5B44">
        <w:t xml:space="preserve"> </w:t>
      </w:r>
      <w:r>
        <w:t>está diretamente associada à p</w:t>
      </w:r>
      <w:r w:rsidRPr="007B5B44">
        <w:t>rodução de energia elétrica</w:t>
      </w:r>
      <w:r>
        <w:t>, que foi citada como a principal característica procurada por 61% dos entrevistados.</w:t>
      </w:r>
      <w:r w:rsidR="004F3AD7">
        <w:t xml:space="preserve"> A </w:t>
      </w:r>
      <w:r w:rsidR="004F3AD7" w:rsidRPr="004F3AD7">
        <w:t>característica de redução de emissão de gases de efeito estufa</w:t>
      </w:r>
      <w:r w:rsidR="004F3AD7">
        <w:t xml:space="preserve"> foi considerada a mais importante por 10% dos respondentes, indicando que dentro da amostra existe um subgrupo de consumidores verdes, que prioriza os benefícios socioambientais antes do retorno financeiro.</w:t>
      </w:r>
    </w:p>
    <w:p w:rsidR="009C7A2D" w:rsidRDefault="00A74DF5" w:rsidP="00F46B99">
      <w:pPr>
        <w:pStyle w:val="para"/>
      </w:pPr>
      <w:r>
        <w:t xml:space="preserve">Em relação </w:t>
      </w:r>
      <w:r w:rsidR="008235AE">
        <w:t>à</w:t>
      </w:r>
      <w:r>
        <w:t xml:space="preserve"> disposição de </w:t>
      </w:r>
      <w:r w:rsidR="00EB3427">
        <w:t>investimento dos potenciais consumidores</w:t>
      </w:r>
      <w:r>
        <w:t>,</w:t>
      </w:r>
      <w:r w:rsidR="00EB3427">
        <w:t xml:space="preserve"> 71% afirmaram estar dispostos a investir, sendo que </w:t>
      </w:r>
      <w:r w:rsidR="008235AE">
        <w:t>51</w:t>
      </w:r>
      <w:r>
        <w:t xml:space="preserve">% </w:t>
      </w:r>
      <w:r w:rsidRPr="00A74DF5">
        <w:t xml:space="preserve">têm </w:t>
      </w:r>
      <w:r w:rsidR="00EB3427">
        <w:t xml:space="preserve">intenção </w:t>
      </w:r>
      <w:r>
        <w:t>de investir</w:t>
      </w:r>
      <w:r w:rsidR="00EB3427">
        <w:t xml:space="preserve"> na tecnologia </w:t>
      </w:r>
      <w:r>
        <w:t xml:space="preserve">até </w:t>
      </w:r>
      <w:r w:rsidRPr="00A74DF5">
        <w:t>R$ 1</w:t>
      </w:r>
      <w:r w:rsidR="00EB3427">
        <w:t>0</w:t>
      </w:r>
      <w:r w:rsidRPr="00A74DF5">
        <w:t>.000</w:t>
      </w:r>
      <w:r w:rsidR="00EB3427">
        <w:t>. Essa inclinação</w:t>
      </w:r>
      <w:r w:rsidR="00EB3427" w:rsidRPr="00EB3427">
        <w:t xml:space="preserve"> positiva</w:t>
      </w:r>
      <w:r w:rsidR="00EB3427">
        <w:t xml:space="preserve"> em relação ao investimento</w:t>
      </w:r>
      <w:r w:rsidR="00EB3427" w:rsidRPr="00EB3427">
        <w:t xml:space="preserve"> dos entrevistados</w:t>
      </w:r>
      <w:r w:rsidR="00EB3427">
        <w:t xml:space="preserve"> é um </w:t>
      </w:r>
      <w:r w:rsidR="00EB3427" w:rsidRPr="00EB3427">
        <w:t xml:space="preserve">resultado muito expressivo não apenas pelo percentual </w:t>
      </w:r>
      <w:r w:rsidR="00EB3427">
        <w:t>significativo</w:t>
      </w:r>
      <w:r w:rsidR="007B5B44">
        <w:t>,</w:t>
      </w:r>
      <w:r w:rsidR="00EB3427">
        <w:t xml:space="preserve"> como também pelo patamar de investimento</w:t>
      </w:r>
      <w:r w:rsidR="007B5B44">
        <w:t>,</w:t>
      </w:r>
      <w:r w:rsidR="00EB3427">
        <w:t xml:space="preserve"> que pode orientar o mercado na oferta de </w:t>
      </w:r>
      <w:r w:rsidR="007B5B44">
        <w:t>produtos</w:t>
      </w:r>
      <w:r w:rsidR="00EB3427">
        <w:t xml:space="preserve"> </w:t>
      </w:r>
      <w:r w:rsidR="007B5B44">
        <w:t xml:space="preserve">para este patamar. </w:t>
      </w:r>
    </w:p>
    <w:p w:rsidR="009C23F6" w:rsidRDefault="007A7CAB" w:rsidP="009C23F6">
      <w:pPr>
        <w:pStyle w:val="para"/>
      </w:pPr>
      <w:r>
        <w:t>Adicionalmente, n</w:t>
      </w:r>
      <w:r w:rsidR="006253A6" w:rsidRPr="007A53B4">
        <w:t xml:space="preserve">a elaboração do questionário buscou-se pesquisar as características do </w:t>
      </w:r>
      <w:r w:rsidR="00236DD7">
        <w:t>APP</w:t>
      </w:r>
      <w:r w:rsidR="007A53B4" w:rsidRPr="007A53B4">
        <w:t xml:space="preserve"> </w:t>
      </w:r>
      <w:r w:rsidR="006253A6" w:rsidRPr="007A53B4">
        <w:t>assumindo uma hierarquia</w:t>
      </w:r>
      <w:r w:rsidR="007A53B4">
        <w:t xml:space="preserve"> de importância </w:t>
      </w:r>
      <w:r w:rsidR="006253A6" w:rsidRPr="007A53B4">
        <w:t xml:space="preserve">sob a ótica do potencial consumidor. Neste sentido, </w:t>
      </w:r>
      <w:r w:rsidR="00653AE8" w:rsidRPr="007A53B4">
        <w:t xml:space="preserve">a </w:t>
      </w:r>
      <w:fldSimple w:instr=" REF _Ref485159916 \h  \* MERGEFORMAT ">
        <w:r w:rsidR="00E31081">
          <w:t>Tabela 1</w:t>
        </w:r>
      </w:fldSimple>
      <w:r w:rsidR="006253A6" w:rsidRPr="007A53B4">
        <w:t xml:space="preserve"> </w:t>
      </w:r>
      <w:r w:rsidR="007A53B4">
        <w:t>apresenta</w:t>
      </w:r>
      <w:r w:rsidR="006253A6" w:rsidRPr="007A53B4">
        <w:t xml:space="preserve"> a </w:t>
      </w:r>
      <w:r w:rsidR="00FA5DF1">
        <w:t xml:space="preserve">classificação de importância </w:t>
      </w:r>
      <w:r w:rsidR="006253A6" w:rsidRPr="007A53B4">
        <w:t xml:space="preserve">das características, indicando que os fatores </w:t>
      </w:r>
      <w:r w:rsidR="00FA5DF1" w:rsidRPr="007A53B4">
        <w:t>r</w:t>
      </w:r>
      <w:r w:rsidR="007A53B4" w:rsidRPr="007A53B4">
        <w:t xml:space="preserve">etorno do investimento, </w:t>
      </w:r>
      <w:r w:rsidR="006253A6" w:rsidRPr="007A53B4">
        <w:t>de ordem econômica</w:t>
      </w:r>
      <w:r w:rsidR="007A53B4" w:rsidRPr="007A53B4">
        <w:t>,</w:t>
      </w:r>
      <w:r w:rsidR="006253A6" w:rsidRPr="007A53B4">
        <w:t xml:space="preserve"> e</w:t>
      </w:r>
      <w:r w:rsidR="007A53B4" w:rsidRPr="007A53B4">
        <w:t xml:space="preserve"> </w:t>
      </w:r>
      <w:r w:rsidR="00FA5DF1" w:rsidRPr="007A53B4">
        <w:t xml:space="preserve">produção </w:t>
      </w:r>
      <w:r w:rsidR="007A53B4" w:rsidRPr="007A53B4">
        <w:t>de energia elétrica</w:t>
      </w:r>
      <w:r w:rsidR="00FA5DF1">
        <w:t xml:space="preserve">, de ordem </w:t>
      </w:r>
      <w:r w:rsidR="006253A6" w:rsidRPr="007A53B4">
        <w:t>técnica</w:t>
      </w:r>
      <w:r w:rsidR="00FA5DF1">
        <w:t>,</w:t>
      </w:r>
      <w:r w:rsidR="006253A6" w:rsidRPr="007A53B4">
        <w:t xml:space="preserve"> </w:t>
      </w:r>
      <w:r w:rsidR="00FA5DF1">
        <w:t>são considerados e</w:t>
      </w:r>
      <w:r w:rsidR="006253A6" w:rsidRPr="007A53B4">
        <w:t>xtremamente importante</w:t>
      </w:r>
      <w:r w:rsidR="00FA5DF1">
        <w:t>s</w:t>
      </w:r>
      <w:r w:rsidR="006253A6" w:rsidRPr="007A53B4">
        <w:t xml:space="preserve"> </w:t>
      </w:r>
      <w:r w:rsidR="00FA5DF1">
        <w:t>(nível 5) e t</w:t>
      </w:r>
      <w:r w:rsidR="00627EA9">
        <w:t>ê</w:t>
      </w:r>
      <w:r w:rsidR="00FA5DF1">
        <w:t xml:space="preserve">m um apelo positivo </w:t>
      </w:r>
      <w:r w:rsidR="00627EA9">
        <w:t>na</w:t>
      </w:r>
      <w:r w:rsidR="006253A6" w:rsidRPr="007A53B4">
        <w:t xml:space="preserve"> motivação de compra declarada pelos respondentes</w:t>
      </w:r>
      <w:r w:rsidR="00627EA9">
        <w:t>.</w:t>
      </w:r>
      <w:r w:rsidR="00AF4D79">
        <w:t xml:space="preserve"> A produção de energia elétrica é novamente avaliada como uma das características mais importantes de um aerogerador, havendo</w:t>
      </w:r>
      <w:r w:rsidR="0054577C">
        <w:t xml:space="preserve"> um </w:t>
      </w:r>
      <w:r w:rsidR="00A32F87">
        <w:t xml:space="preserve">alto </w:t>
      </w:r>
      <w:r w:rsidR="0054577C">
        <w:t>consenso</w:t>
      </w:r>
      <w:r w:rsidR="00A32F87">
        <w:t xml:space="preserve"> dos respondentes</w:t>
      </w:r>
      <w:r w:rsidR="0054577C">
        <w:t xml:space="preserve"> </w:t>
      </w:r>
      <w:r w:rsidR="00A32F87">
        <w:t>em relação ao</w:t>
      </w:r>
      <w:r w:rsidR="00236DD7">
        <w:t xml:space="preserve"> seu</w:t>
      </w:r>
      <w:r w:rsidR="00A32F87">
        <w:t xml:space="preserve"> grau de importância, maior do que o consenso em relação à importância do </w:t>
      </w:r>
      <w:r w:rsidR="00A32F87" w:rsidRPr="007A53B4">
        <w:t>retorno do investimento</w:t>
      </w:r>
      <w:r w:rsidR="00A32F87">
        <w:t xml:space="preserve">. </w:t>
      </w:r>
      <w:r w:rsidR="009C23F6">
        <w:t>A principal diferença em relação à amostra de questionários de 2014 é que as características de crédito de impostos e vento disponível no local deixaram de ser consideradas e</w:t>
      </w:r>
      <w:r w:rsidR="009C23F6" w:rsidRPr="007A53B4">
        <w:t>xtremamente importante</w:t>
      </w:r>
      <w:r w:rsidR="009C23F6">
        <w:t xml:space="preserve">s na avaliação dos respondentes </w:t>
      </w:r>
      <w:sdt>
        <w:sdtPr>
          <w:id w:val="1759644651"/>
          <w:citation/>
        </w:sdtPr>
        <w:sdtContent>
          <w:r w:rsidR="00940D78">
            <w:fldChar w:fldCharType="begin"/>
          </w:r>
          <w:r w:rsidR="009C23F6">
            <w:instrText xml:space="preserve"> CITATION Per15 \l 1046 </w:instrText>
          </w:r>
          <w:r w:rsidR="00940D78">
            <w:fldChar w:fldCharType="separate"/>
          </w:r>
          <w:r w:rsidR="00D96765">
            <w:rPr>
              <w:noProof/>
            </w:rPr>
            <w:t>[</w:t>
          </w:r>
          <w:hyperlink w:anchor="Per15" w:history="1">
            <w:r w:rsidR="00D96765">
              <w:rPr>
                <w:noProof/>
              </w:rPr>
              <w:t>12</w:t>
            </w:r>
          </w:hyperlink>
          <w:r w:rsidR="00D96765">
            <w:rPr>
              <w:noProof/>
            </w:rPr>
            <w:t>]</w:t>
          </w:r>
          <w:r w:rsidR="00940D78">
            <w:fldChar w:fldCharType="end"/>
          </w:r>
        </w:sdtContent>
      </w:sdt>
      <w:r w:rsidR="009C23F6">
        <w:t>.</w:t>
      </w:r>
    </w:p>
    <w:p w:rsidR="006253A6" w:rsidRDefault="006253A6" w:rsidP="007A53B4">
      <w:pPr>
        <w:pStyle w:val="para"/>
      </w:pPr>
      <w:r w:rsidRPr="007A53B4">
        <w:t>Ressalta-se, também, que na avaliação dos entrevistados os itens de marca</w:t>
      </w:r>
      <w:r w:rsidR="00FA5DF1">
        <w:t xml:space="preserve"> e estética/</w:t>
      </w:r>
      <w:r w:rsidRPr="007A53B4">
        <w:t>design</w:t>
      </w:r>
      <w:r w:rsidR="00FA5DF1">
        <w:t xml:space="preserve"> são considerados menos relevantes na percepção d</w:t>
      </w:r>
      <w:r w:rsidRPr="007A53B4">
        <w:t xml:space="preserve">os consumidores. Este último resultado é </w:t>
      </w:r>
      <w:r w:rsidRPr="007A53B4">
        <w:lastRenderedPageBreak/>
        <w:t>natural em mercados ainda não maduros, onde a competição não é realizada particularmente pela marca</w:t>
      </w:r>
      <w:r w:rsidR="00FA5DF1">
        <w:t>.</w:t>
      </w:r>
    </w:p>
    <w:p w:rsidR="00D162E7" w:rsidRPr="00D162E7" w:rsidRDefault="00D162E7" w:rsidP="00D162E7">
      <w:pPr>
        <w:pStyle w:val="para"/>
        <w:rPr>
          <w:color w:val="FF0000"/>
        </w:rPr>
      </w:pPr>
      <w:r w:rsidRPr="007A53B4">
        <w:t>Cabe atentar</w:t>
      </w:r>
      <w:r w:rsidR="007A53B4" w:rsidRPr="007A53B4">
        <w:t xml:space="preserve"> que até 9% dos respondentes não souberam avaliar o grau de importância em diversas características, sugerindo </w:t>
      </w:r>
      <w:r w:rsidRPr="007A53B4">
        <w:t xml:space="preserve">que </w:t>
      </w:r>
      <w:r w:rsidR="007A53B4" w:rsidRPr="007A53B4">
        <w:t>alguns</w:t>
      </w:r>
      <w:r w:rsidRPr="007A53B4">
        <w:t xml:space="preserve"> respondentes não possuíam conhecimento</w:t>
      </w:r>
      <w:r w:rsidR="007A53B4" w:rsidRPr="007A53B4">
        <w:t xml:space="preserve"> ou</w:t>
      </w:r>
      <w:r w:rsidR="00E7068F">
        <w:t xml:space="preserve"> opinião</w:t>
      </w:r>
      <w:r w:rsidR="007A53B4" w:rsidRPr="007A53B4">
        <w:t xml:space="preserve"> </w:t>
      </w:r>
      <w:r w:rsidRPr="007A53B4">
        <w:t xml:space="preserve">sobre vários itens perguntados (ex. </w:t>
      </w:r>
      <w:r w:rsidR="007A53B4" w:rsidRPr="007A53B4">
        <w:t>crédito de energia</w:t>
      </w:r>
      <w:r w:rsidRPr="007A53B4">
        <w:t xml:space="preserve">; área disponível; qualidade de energia </w:t>
      </w:r>
      <w:proofErr w:type="spellStart"/>
      <w:r w:rsidRPr="007A53B4">
        <w:t>etc</w:t>
      </w:r>
      <w:proofErr w:type="spellEnd"/>
      <w:r w:rsidRPr="007A53B4">
        <w:t>) reforçando a necessidade de divulgação no sentido de reduzir a assimetria de informações e</w:t>
      </w:r>
      <w:r w:rsidRPr="00D162E7">
        <w:rPr>
          <w:color w:val="FF0000"/>
        </w:rPr>
        <w:t xml:space="preserve"> </w:t>
      </w:r>
      <w:r w:rsidRPr="007A53B4">
        <w:t>propiciar condições suficientes para que o potencial consumidor possa tomar a melhor decisão, dentro da sua carteira de prioridades.</w:t>
      </w:r>
    </w:p>
    <w:p w:rsidR="00E373FD" w:rsidRDefault="00E373FD" w:rsidP="00E373FD">
      <w:pPr>
        <w:pStyle w:val="Legenda"/>
        <w:keepNext/>
      </w:pPr>
      <w:bookmarkStart w:id="3" w:name="_Ref485159916"/>
      <w:r>
        <w:t xml:space="preserve">Tabela </w:t>
      </w:r>
      <w:r w:rsidR="0048307C">
        <w:t>1</w:t>
      </w:r>
      <w:bookmarkEnd w:id="3"/>
      <w:r>
        <w:t xml:space="preserve"> - </w:t>
      </w:r>
      <w:r w:rsidRPr="00E373FD">
        <w:t>Hierarquização das Características Relevantes da Tecnologia usando o valor da med</w:t>
      </w:r>
      <w:r w:rsidR="0048307C">
        <w:t>iana da amostra - Ó</w:t>
      </w:r>
      <w:r w:rsidRPr="00E373FD">
        <w:t>tica do Potencial Consumidor</w:t>
      </w:r>
      <w:r>
        <w:t>.</w:t>
      </w:r>
    </w:p>
    <w:tbl>
      <w:tblPr>
        <w:tblStyle w:val="Tabelacomgrade"/>
        <w:tblW w:w="9464" w:type="dxa"/>
        <w:jc w:val="center"/>
        <w:tblLayout w:type="fixed"/>
        <w:tblCellMar>
          <w:top w:w="14" w:type="dxa"/>
          <w:left w:w="57" w:type="dxa"/>
          <w:bottom w:w="14" w:type="dxa"/>
          <w:right w:w="57" w:type="dxa"/>
        </w:tblCellMar>
        <w:tblLook w:val="04A0"/>
      </w:tblPr>
      <w:tblGrid>
        <w:gridCol w:w="2000"/>
        <w:gridCol w:w="2786"/>
        <w:gridCol w:w="2002"/>
        <w:gridCol w:w="1338"/>
        <w:gridCol w:w="1338"/>
      </w:tblGrid>
      <w:tr w:rsidR="000C3469" w:rsidTr="00AF4D79">
        <w:trPr>
          <w:trHeight w:val="300"/>
          <w:tblHeader/>
          <w:jc w:val="center"/>
        </w:trPr>
        <w:tc>
          <w:tcPr>
            <w:tcW w:w="2000" w:type="dxa"/>
            <w:vMerge w:val="restart"/>
            <w:noWrap/>
            <w:vAlign w:val="center"/>
          </w:tcPr>
          <w:p w:rsidR="000C3469" w:rsidRDefault="000C3469" w:rsidP="00275C8B">
            <w:pPr>
              <w:jc w:val="center"/>
              <w:rPr>
                <w:rFonts w:ascii="Calibri" w:hAnsi="Calibri" w:cs="Calibri"/>
                <w:b/>
                <w:bCs/>
                <w:color w:val="000000"/>
              </w:rPr>
            </w:pPr>
            <w:r>
              <w:rPr>
                <w:rFonts w:ascii="Calibri" w:hAnsi="Calibri" w:cs="Calibri"/>
                <w:b/>
                <w:bCs/>
                <w:color w:val="000000"/>
              </w:rPr>
              <w:t>Dimensão</w:t>
            </w:r>
          </w:p>
        </w:tc>
        <w:tc>
          <w:tcPr>
            <w:tcW w:w="2786" w:type="dxa"/>
            <w:vMerge w:val="restart"/>
            <w:noWrap/>
            <w:vAlign w:val="center"/>
          </w:tcPr>
          <w:p w:rsidR="000C3469" w:rsidRDefault="000C3469" w:rsidP="00275C8B">
            <w:pPr>
              <w:jc w:val="center"/>
              <w:rPr>
                <w:rFonts w:ascii="Calibri" w:hAnsi="Calibri" w:cs="Calibri"/>
                <w:b/>
                <w:bCs/>
                <w:color w:val="000000"/>
              </w:rPr>
            </w:pPr>
            <w:r>
              <w:rPr>
                <w:rFonts w:ascii="Calibri" w:hAnsi="Calibri" w:cs="Calibri"/>
                <w:b/>
                <w:bCs/>
                <w:color w:val="000000"/>
              </w:rPr>
              <w:t>Característica</w:t>
            </w:r>
          </w:p>
        </w:tc>
        <w:tc>
          <w:tcPr>
            <w:tcW w:w="4678" w:type="dxa"/>
            <w:gridSpan w:val="3"/>
            <w:tcBorders>
              <w:bottom w:val="single" w:sz="4" w:space="0" w:color="auto"/>
            </w:tcBorders>
            <w:vAlign w:val="center"/>
          </w:tcPr>
          <w:p w:rsidR="000C3469" w:rsidRDefault="000C3469" w:rsidP="00275C8B">
            <w:pPr>
              <w:jc w:val="center"/>
              <w:rPr>
                <w:rFonts w:ascii="Calibri" w:hAnsi="Calibri" w:cs="Calibri"/>
                <w:b/>
                <w:bCs/>
                <w:color w:val="000000"/>
              </w:rPr>
            </w:pPr>
            <w:r>
              <w:rPr>
                <w:rFonts w:ascii="Calibri" w:hAnsi="Calibri" w:cs="Calibri"/>
                <w:b/>
                <w:bCs/>
                <w:color w:val="000000"/>
              </w:rPr>
              <w:t>Escala de importância*</w:t>
            </w:r>
          </w:p>
        </w:tc>
      </w:tr>
      <w:tr w:rsidR="000C3469" w:rsidTr="00AF4D79">
        <w:trPr>
          <w:trHeight w:val="75"/>
          <w:tblHeader/>
          <w:jc w:val="center"/>
        </w:trPr>
        <w:tc>
          <w:tcPr>
            <w:tcW w:w="2000" w:type="dxa"/>
            <w:vMerge/>
            <w:noWrap/>
            <w:hideMark/>
          </w:tcPr>
          <w:p w:rsidR="000C3469" w:rsidRDefault="000C3469">
            <w:pPr>
              <w:rPr>
                <w:rFonts w:ascii="Calibri" w:hAnsi="Calibri" w:cs="Calibri"/>
                <w:b/>
                <w:bCs/>
                <w:color w:val="000000"/>
              </w:rPr>
            </w:pPr>
          </w:p>
        </w:tc>
        <w:tc>
          <w:tcPr>
            <w:tcW w:w="2786" w:type="dxa"/>
            <w:vMerge/>
            <w:noWrap/>
            <w:hideMark/>
          </w:tcPr>
          <w:p w:rsidR="000C3469" w:rsidRDefault="000C3469">
            <w:pPr>
              <w:rPr>
                <w:rFonts w:ascii="Calibri" w:hAnsi="Calibri" w:cs="Calibri"/>
                <w:b/>
                <w:bCs/>
                <w:color w:val="000000"/>
              </w:rPr>
            </w:pPr>
          </w:p>
        </w:tc>
        <w:tc>
          <w:tcPr>
            <w:tcW w:w="2002" w:type="dxa"/>
            <w:tcBorders>
              <w:bottom w:val="single" w:sz="4" w:space="0" w:color="auto"/>
            </w:tcBorders>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0"/>
              <w:gridCol w:w="360"/>
              <w:gridCol w:w="360"/>
              <w:gridCol w:w="360"/>
              <w:gridCol w:w="360"/>
            </w:tblGrid>
            <w:tr w:rsidR="000C3469" w:rsidRPr="00766B07" w:rsidTr="00275C8B">
              <w:trPr>
                <w:trHeight w:val="170"/>
              </w:trPr>
              <w:tc>
                <w:tcPr>
                  <w:tcW w:w="360" w:type="dxa"/>
                  <w:vAlign w:val="center"/>
                </w:tcPr>
                <w:p w:rsidR="000C3469" w:rsidRPr="00766B07" w:rsidRDefault="000C3469" w:rsidP="00157587">
                  <w:pPr>
                    <w:pStyle w:val="SemEspaamento"/>
                    <w:jc w:val="center"/>
                    <w:rPr>
                      <w:b/>
                    </w:rPr>
                  </w:pPr>
                  <w:r w:rsidRPr="00766B07">
                    <w:rPr>
                      <w:b/>
                    </w:rPr>
                    <w:t>1</w:t>
                  </w:r>
                </w:p>
              </w:tc>
              <w:tc>
                <w:tcPr>
                  <w:tcW w:w="360" w:type="dxa"/>
                  <w:vAlign w:val="center"/>
                </w:tcPr>
                <w:p w:rsidR="000C3469" w:rsidRPr="00766B07" w:rsidRDefault="000C3469" w:rsidP="00157587">
                  <w:pPr>
                    <w:pStyle w:val="SemEspaamento"/>
                    <w:jc w:val="center"/>
                    <w:rPr>
                      <w:b/>
                    </w:rPr>
                  </w:pPr>
                  <w:r w:rsidRPr="00766B07">
                    <w:rPr>
                      <w:b/>
                    </w:rPr>
                    <w:t>2</w:t>
                  </w:r>
                </w:p>
              </w:tc>
              <w:tc>
                <w:tcPr>
                  <w:tcW w:w="360" w:type="dxa"/>
                  <w:vAlign w:val="center"/>
                </w:tcPr>
                <w:p w:rsidR="000C3469" w:rsidRPr="00766B07" w:rsidRDefault="000C3469" w:rsidP="00157587">
                  <w:pPr>
                    <w:pStyle w:val="SemEspaamento"/>
                    <w:jc w:val="center"/>
                    <w:rPr>
                      <w:b/>
                    </w:rPr>
                  </w:pPr>
                  <w:r w:rsidRPr="00766B07">
                    <w:rPr>
                      <w:b/>
                    </w:rPr>
                    <w:t>3</w:t>
                  </w:r>
                </w:p>
              </w:tc>
              <w:tc>
                <w:tcPr>
                  <w:tcW w:w="360" w:type="dxa"/>
                  <w:vAlign w:val="center"/>
                </w:tcPr>
                <w:p w:rsidR="000C3469" w:rsidRPr="00766B07" w:rsidRDefault="000C3469" w:rsidP="00157587">
                  <w:pPr>
                    <w:pStyle w:val="SemEspaamento"/>
                    <w:jc w:val="center"/>
                    <w:rPr>
                      <w:b/>
                    </w:rPr>
                  </w:pPr>
                  <w:r w:rsidRPr="00766B07">
                    <w:rPr>
                      <w:b/>
                    </w:rPr>
                    <w:t>4</w:t>
                  </w:r>
                </w:p>
              </w:tc>
              <w:tc>
                <w:tcPr>
                  <w:tcW w:w="360" w:type="dxa"/>
                  <w:vAlign w:val="center"/>
                </w:tcPr>
                <w:p w:rsidR="000C3469" w:rsidRPr="00766B07" w:rsidRDefault="000C3469" w:rsidP="00157587">
                  <w:pPr>
                    <w:pStyle w:val="SemEspaamento"/>
                    <w:jc w:val="center"/>
                    <w:rPr>
                      <w:b/>
                    </w:rPr>
                  </w:pPr>
                  <w:r w:rsidRPr="00766B07">
                    <w:rPr>
                      <w:b/>
                    </w:rPr>
                    <w:t>5</w:t>
                  </w:r>
                </w:p>
              </w:tc>
            </w:tr>
          </w:tbl>
          <w:p w:rsidR="000C3469" w:rsidRDefault="000C3469" w:rsidP="00157587">
            <w:pPr>
              <w:jc w:val="center"/>
              <w:rPr>
                <w:rFonts w:ascii="Calibri" w:hAnsi="Calibri" w:cs="Calibri"/>
                <w:b/>
                <w:bCs/>
                <w:color w:val="000000"/>
              </w:rPr>
            </w:pPr>
          </w:p>
        </w:tc>
        <w:tc>
          <w:tcPr>
            <w:tcW w:w="1338" w:type="dxa"/>
          </w:tcPr>
          <w:p w:rsidR="000C3469" w:rsidRDefault="000C3469" w:rsidP="00275C8B">
            <w:pPr>
              <w:jc w:val="center"/>
              <w:rPr>
                <w:rFonts w:ascii="Calibri" w:hAnsi="Calibri" w:cs="Calibri"/>
                <w:b/>
                <w:bCs/>
                <w:color w:val="000000"/>
              </w:rPr>
            </w:pPr>
            <w:r>
              <w:rPr>
                <w:rFonts w:ascii="Calibri" w:hAnsi="Calibri" w:cs="Calibri"/>
                <w:b/>
                <w:bCs/>
                <w:color w:val="000000"/>
              </w:rPr>
              <w:t>Mediana</w:t>
            </w:r>
          </w:p>
        </w:tc>
        <w:tc>
          <w:tcPr>
            <w:tcW w:w="1338" w:type="dxa"/>
          </w:tcPr>
          <w:p w:rsidR="000C3469" w:rsidRDefault="000C3469" w:rsidP="00275C8B">
            <w:pPr>
              <w:jc w:val="center"/>
              <w:rPr>
                <w:rFonts w:ascii="Calibri" w:hAnsi="Calibri" w:cs="Calibri"/>
                <w:b/>
                <w:bCs/>
                <w:color w:val="000000"/>
              </w:rPr>
            </w:pPr>
            <w:r>
              <w:rPr>
                <w:rFonts w:ascii="Calibri" w:hAnsi="Calibri" w:cs="Calibri"/>
                <w:b/>
                <w:bCs/>
                <w:color w:val="000000"/>
              </w:rPr>
              <w:t>Consenso</w:t>
            </w:r>
            <w:r w:rsidR="00A46C39">
              <w:rPr>
                <w:rFonts w:ascii="Calibri" w:hAnsi="Calibri" w:cs="Calibri"/>
                <w:b/>
                <w:bCs/>
                <w:color w:val="000000"/>
              </w:rPr>
              <w:t>**</w:t>
            </w:r>
          </w:p>
        </w:tc>
      </w:tr>
      <w:tr w:rsidR="00A46C39" w:rsidTr="00AF4D79">
        <w:trPr>
          <w:trHeight w:val="300"/>
          <w:jc w:val="center"/>
        </w:trPr>
        <w:tc>
          <w:tcPr>
            <w:tcW w:w="2000" w:type="dxa"/>
            <w:vMerge w:val="restart"/>
            <w:noWrap/>
            <w:hideMark/>
          </w:tcPr>
          <w:p w:rsidR="00A46C39" w:rsidRDefault="00A46C39">
            <w:pPr>
              <w:rPr>
                <w:rFonts w:ascii="Calibri" w:hAnsi="Calibri" w:cs="Calibri"/>
                <w:b/>
                <w:bCs/>
                <w:color w:val="000000"/>
              </w:rPr>
            </w:pPr>
            <w:r>
              <w:rPr>
                <w:rFonts w:ascii="Calibri" w:hAnsi="Calibri" w:cs="Calibri"/>
                <w:b/>
                <w:bCs/>
                <w:color w:val="000000"/>
              </w:rPr>
              <w:t>1. Física</w:t>
            </w: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Área disponível</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791D2D" w:rsidTr="00275C8B">
              <w:trPr>
                <w:trHeight w:val="170"/>
              </w:trPr>
              <w:tc>
                <w:tcPr>
                  <w:tcW w:w="360" w:type="dxa"/>
                  <w:shd w:val="clear" w:color="auto" w:fill="A6A6A6" w:themeFill="background1" w:themeFillShade="A6"/>
                  <w:vAlign w:val="center"/>
                </w:tcPr>
                <w:p w:rsidR="00A46C39" w:rsidRPr="00791D2D"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791D2D"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791D2D"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791D2D" w:rsidRDefault="00A46C39" w:rsidP="00157587">
                  <w:pPr>
                    <w:pStyle w:val="SemEspaamento"/>
                    <w:jc w:val="center"/>
                    <w:rPr>
                      <w:sz w:val="16"/>
                      <w:szCs w:val="16"/>
                    </w:rPr>
                  </w:pPr>
                </w:p>
              </w:tc>
              <w:tc>
                <w:tcPr>
                  <w:tcW w:w="360" w:type="dxa"/>
                  <w:vAlign w:val="center"/>
                </w:tcPr>
                <w:p w:rsidR="00A46C39" w:rsidRPr="00791D2D" w:rsidRDefault="00A46C39" w:rsidP="00157587">
                  <w:pPr>
                    <w:pStyle w:val="SemEspaamento"/>
                    <w:jc w:val="center"/>
                    <w:rPr>
                      <w:sz w:val="16"/>
                      <w:szCs w:val="16"/>
                    </w:rPr>
                  </w:pPr>
                </w:p>
              </w:tc>
            </w:tr>
          </w:tbl>
          <w:p w:rsidR="00A46C39" w:rsidRDefault="00A46C39" w:rsidP="00157587">
            <w:pPr>
              <w:jc w:val="center"/>
              <w:rPr>
                <w:rFonts w:ascii="Calibri" w:hAnsi="Calibri" w:cs="Calibri"/>
                <w:color w:val="000000"/>
              </w:rP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Baixo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Vento disponível no local</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val="restart"/>
            <w:noWrap/>
            <w:hideMark/>
          </w:tcPr>
          <w:p w:rsidR="00A46C39" w:rsidRDefault="00A46C39">
            <w:pPr>
              <w:rPr>
                <w:rFonts w:ascii="Calibri" w:hAnsi="Calibri" w:cs="Calibri"/>
                <w:b/>
                <w:bCs/>
                <w:color w:val="000000"/>
              </w:rPr>
            </w:pPr>
            <w:r>
              <w:rPr>
                <w:rFonts w:ascii="Calibri" w:hAnsi="Calibri" w:cs="Calibri"/>
                <w:b/>
                <w:bCs/>
                <w:color w:val="000000"/>
              </w:rPr>
              <w:t>2. Técnica</w:t>
            </w: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Controle de potência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Baixo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Curva de potência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Instalação</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Nível de ruído (acústico)</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Potência do aerogerador</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Produção de energia elétrica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5</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Alto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Qualidade de energia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Sistema de segurança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B525F9" w:rsidTr="00275C8B">
              <w:trPr>
                <w:trHeight w:val="170"/>
              </w:trPr>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B525F9" w:rsidRDefault="00A46C39" w:rsidP="00157587">
                  <w:pPr>
                    <w:pStyle w:val="SemEspaamento"/>
                    <w:jc w:val="center"/>
                    <w:rPr>
                      <w:sz w:val="16"/>
                      <w:szCs w:val="16"/>
                    </w:rPr>
                  </w:pPr>
                </w:p>
              </w:tc>
              <w:tc>
                <w:tcPr>
                  <w:tcW w:w="360" w:type="dxa"/>
                  <w:vAlign w:val="center"/>
                </w:tcPr>
                <w:p w:rsidR="00A46C39" w:rsidRPr="00B525F9"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noWrap/>
            <w:hideMark/>
          </w:tcPr>
          <w:p w:rsidR="00A46C39" w:rsidRDefault="00A46C39">
            <w:pPr>
              <w:rPr>
                <w:rFonts w:ascii="Calibri" w:hAnsi="Calibri" w:cs="Calibri"/>
                <w:b/>
                <w:bCs/>
                <w:color w:val="000000"/>
              </w:rPr>
            </w:pPr>
            <w:r>
              <w:rPr>
                <w:rFonts w:ascii="Calibri" w:hAnsi="Calibri" w:cs="Calibri"/>
                <w:b/>
                <w:bCs/>
                <w:color w:val="000000"/>
              </w:rPr>
              <w:t>3. Socioambiental</w:t>
            </w: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Sustentabilidade ambiental</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val="restart"/>
            <w:noWrap/>
            <w:hideMark/>
          </w:tcPr>
          <w:p w:rsidR="00A46C39" w:rsidRDefault="00A46C39">
            <w:pPr>
              <w:rPr>
                <w:rFonts w:ascii="Calibri" w:hAnsi="Calibri" w:cs="Calibri"/>
                <w:b/>
                <w:bCs/>
                <w:color w:val="000000"/>
              </w:rPr>
            </w:pPr>
            <w:r>
              <w:rPr>
                <w:rFonts w:ascii="Calibri" w:hAnsi="Calibri" w:cs="Calibri"/>
                <w:b/>
                <w:bCs/>
                <w:color w:val="000000"/>
              </w:rPr>
              <w:t>4. Econômica</w:t>
            </w: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Crédito de energia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Baixo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Crédito de impostos</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Baixo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Financiamento</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Baixo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Retorno do investimento</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5</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val="restart"/>
            <w:noWrap/>
            <w:hideMark/>
          </w:tcPr>
          <w:p w:rsidR="00A46C39" w:rsidRDefault="00A46C39">
            <w:pPr>
              <w:rPr>
                <w:rFonts w:ascii="Calibri" w:hAnsi="Calibri" w:cs="Calibri"/>
                <w:b/>
                <w:bCs/>
                <w:color w:val="000000"/>
              </w:rPr>
            </w:pPr>
            <w:r>
              <w:rPr>
                <w:rFonts w:ascii="Calibri" w:hAnsi="Calibri" w:cs="Calibri"/>
                <w:b/>
                <w:bCs/>
                <w:color w:val="000000"/>
              </w:rPr>
              <w:t>5. Comercial</w:t>
            </w: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Estética / Design</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uto"/>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3</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Garantia do produto</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Marca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uto"/>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3</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Baixo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tcBorders>
              <w:right w:val="single" w:sz="4" w:space="0" w:color="auto"/>
            </w:tcBorders>
            <w:noWrap/>
            <w:hideMark/>
          </w:tcPr>
          <w:p w:rsidR="00A46C39" w:rsidRDefault="00A46C39">
            <w:pPr>
              <w:rPr>
                <w:rFonts w:ascii="Calibri" w:hAnsi="Calibri" w:cs="Calibri"/>
                <w:color w:val="000000"/>
              </w:rPr>
            </w:pPr>
            <w:r>
              <w:rPr>
                <w:rFonts w:ascii="Calibri" w:hAnsi="Calibri" w:cs="Calibri"/>
                <w:color w:val="000000"/>
              </w:rPr>
              <w:t>Pós-venda</w:t>
            </w:r>
          </w:p>
        </w:tc>
        <w:tc>
          <w:tcPr>
            <w:tcW w:w="2002" w:type="dxa"/>
            <w:tcBorders>
              <w:left w:val="single" w:sz="4" w:space="0" w:color="auto"/>
              <w:right w:val="single" w:sz="4" w:space="0" w:color="auto"/>
            </w:tcBorders>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tcBorders>
              <w:left w:val="single" w:sz="4" w:space="0" w:color="auto"/>
            </w:tcBorders>
            <w:vAlign w:val="bottom"/>
          </w:tcPr>
          <w:p w:rsidR="00A46C39" w:rsidRDefault="00A46C39" w:rsidP="00275C8B">
            <w:pPr>
              <w:jc w:val="center"/>
              <w:rPr>
                <w:rFonts w:ascii="Calibri" w:hAnsi="Calibri" w:cs="Calibri"/>
                <w:color w:val="000000"/>
              </w:rPr>
            </w:pPr>
            <w:r>
              <w:rPr>
                <w:rFonts w:ascii="Calibri" w:hAnsi="Calibri" w:cs="Calibri"/>
                <w:color w:val="000000"/>
              </w:rPr>
              <w:t>4</w:t>
            </w:r>
          </w:p>
        </w:tc>
        <w:tc>
          <w:tcPr>
            <w:tcW w:w="1338" w:type="dxa"/>
            <w:tcBorders>
              <w:left w:val="single" w:sz="4" w:space="0" w:color="auto"/>
            </w:tcBorders>
            <w:vAlign w:val="center"/>
          </w:tcPr>
          <w:p w:rsidR="00A46C39" w:rsidRDefault="00A46C39" w:rsidP="00A46C39">
            <w:pPr>
              <w:jc w:val="center"/>
              <w:rPr>
                <w:rFonts w:ascii="Calibri" w:hAnsi="Calibri" w:cs="Calibri"/>
                <w:color w:val="000000"/>
              </w:rPr>
            </w:pPr>
            <w:r>
              <w:rPr>
                <w:rFonts w:ascii="Calibri" w:hAnsi="Calibri" w:cs="Calibri"/>
                <w:color w:val="000000"/>
              </w:rPr>
              <w:t>Baixo</w:t>
            </w:r>
          </w:p>
        </w:tc>
      </w:tr>
      <w:tr w:rsidR="00A46C39" w:rsidTr="00AF4D79">
        <w:trPr>
          <w:trHeight w:val="300"/>
          <w:jc w:val="center"/>
        </w:trPr>
        <w:tc>
          <w:tcPr>
            <w:tcW w:w="2000" w:type="dxa"/>
            <w:vMerge/>
            <w:noWrap/>
            <w:hideMark/>
          </w:tcPr>
          <w:p w:rsidR="00A46C39" w:rsidRDefault="00A46C39">
            <w:pPr>
              <w:rPr>
                <w:rFonts w:ascii="Calibri" w:hAnsi="Calibri" w:cs="Calibri"/>
                <w:b/>
                <w:bCs/>
                <w:color w:val="000000"/>
              </w:rPr>
            </w:pPr>
          </w:p>
        </w:tc>
        <w:tc>
          <w:tcPr>
            <w:tcW w:w="2786" w:type="dxa"/>
            <w:noWrap/>
            <w:hideMark/>
          </w:tcPr>
          <w:p w:rsidR="00A46C39" w:rsidRDefault="00A46C39">
            <w:pPr>
              <w:rPr>
                <w:rFonts w:ascii="Calibri" w:hAnsi="Calibri" w:cs="Calibri"/>
                <w:color w:val="000000"/>
              </w:rPr>
            </w:pPr>
            <w:r>
              <w:rPr>
                <w:rFonts w:ascii="Calibri" w:hAnsi="Calibri" w:cs="Calibri"/>
                <w:color w:val="000000"/>
              </w:rPr>
              <w:t>Tamanho do aerogerador</w:t>
            </w:r>
          </w:p>
        </w:tc>
        <w:tc>
          <w:tcPr>
            <w:tcW w:w="2002" w:type="dxa"/>
            <w:vAlign w:val="center"/>
          </w:tcPr>
          <w:tbl>
            <w:tblPr>
              <w:tblStyle w:val="Tabelacomgrade"/>
              <w:tblW w:w="0" w:type="auto"/>
              <w:tblBorders>
                <w:top w:val="none" w:sz="0" w:space="0" w:color="auto"/>
                <w:bottom w:val="none" w:sz="0" w:space="0" w:color="auto"/>
              </w:tblBorders>
              <w:tblLayout w:type="fixed"/>
              <w:tblLook w:val="04A0"/>
            </w:tblPr>
            <w:tblGrid>
              <w:gridCol w:w="360"/>
              <w:gridCol w:w="360"/>
              <w:gridCol w:w="360"/>
              <w:gridCol w:w="360"/>
              <w:gridCol w:w="360"/>
            </w:tblGrid>
            <w:tr w:rsidR="00A46C39" w:rsidRPr="0009153C" w:rsidTr="00275C8B">
              <w:trPr>
                <w:trHeight w:val="170"/>
              </w:trPr>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6A6A6" w:themeFill="background1" w:themeFillShade="A6"/>
                  <w:vAlign w:val="center"/>
                </w:tcPr>
                <w:p w:rsidR="00A46C39" w:rsidRPr="0009153C" w:rsidRDefault="00A46C39" w:rsidP="00157587">
                  <w:pPr>
                    <w:pStyle w:val="SemEspaamento"/>
                    <w:jc w:val="center"/>
                    <w:rPr>
                      <w:sz w:val="16"/>
                      <w:szCs w:val="16"/>
                    </w:rPr>
                  </w:pPr>
                </w:p>
              </w:tc>
              <w:tc>
                <w:tcPr>
                  <w:tcW w:w="360" w:type="dxa"/>
                  <w:shd w:val="clear" w:color="auto" w:fill="auto"/>
                  <w:vAlign w:val="center"/>
                </w:tcPr>
                <w:p w:rsidR="00A46C39" w:rsidRPr="0009153C" w:rsidRDefault="00A46C39" w:rsidP="00157587">
                  <w:pPr>
                    <w:pStyle w:val="SemEspaamento"/>
                    <w:jc w:val="center"/>
                    <w:rPr>
                      <w:sz w:val="16"/>
                      <w:szCs w:val="16"/>
                    </w:rPr>
                  </w:pPr>
                </w:p>
              </w:tc>
              <w:tc>
                <w:tcPr>
                  <w:tcW w:w="360" w:type="dxa"/>
                  <w:vAlign w:val="center"/>
                </w:tcPr>
                <w:p w:rsidR="00A46C39" w:rsidRPr="0009153C" w:rsidRDefault="00A46C39" w:rsidP="00157587">
                  <w:pPr>
                    <w:pStyle w:val="SemEspaamento"/>
                    <w:jc w:val="center"/>
                    <w:rPr>
                      <w:sz w:val="16"/>
                      <w:szCs w:val="16"/>
                    </w:rPr>
                  </w:pPr>
                </w:p>
              </w:tc>
            </w:tr>
          </w:tbl>
          <w:p w:rsidR="00A46C39" w:rsidRDefault="00A46C39" w:rsidP="00157587">
            <w:pPr>
              <w:jc w:val="center"/>
            </w:pPr>
          </w:p>
        </w:tc>
        <w:tc>
          <w:tcPr>
            <w:tcW w:w="1338" w:type="dxa"/>
            <w:vAlign w:val="bottom"/>
          </w:tcPr>
          <w:p w:rsidR="00A46C39" w:rsidRDefault="00A46C39" w:rsidP="00275C8B">
            <w:pPr>
              <w:jc w:val="center"/>
              <w:rPr>
                <w:rFonts w:ascii="Calibri" w:hAnsi="Calibri" w:cs="Calibri"/>
                <w:color w:val="000000"/>
              </w:rPr>
            </w:pPr>
            <w:r>
              <w:rPr>
                <w:rFonts w:ascii="Calibri" w:hAnsi="Calibri" w:cs="Calibri"/>
                <w:color w:val="000000"/>
              </w:rPr>
              <w:t>3</w:t>
            </w:r>
          </w:p>
        </w:tc>
        <w:tc>
          <w:tcPr>
            <w:tcW w:w="1338" w:type="dxa"/>
            <w:vAlign w:val="center"/>
          </w:tcPr>
          <w:p w:rsidR="00A46C39" w:rsidRDefault="00A46C39" w:rsidP="00A46C39">
            <w:pPr>
              <w:jc w:val="center"/>
              <w:rPr>
                <w:rFonts w:ascii="Calibri" w:hAnsi="Calibri" w:cs="Calibri"/>
                <w:color w:val="000000"/>
              </w:rPr>
            </w:pPr>
            <w:r>
              <w:rPr>
                <w:rFonts w:ascii="Calibri" w:hAnsi="Calibri" w:cs="Calibri"/>
                <w:color w:val="000000"/>
              </w:rPr>
              <w:t>Médio</w:t>
            </w:r>
          </w:p>
        </w:tc>
      </w:tr>
    </w:tbl>
    <w:p w:rsidR="00613A37" w:rsidRPr="007A7CAB" w:rsidRDefault="00791D2D" w:rsidP="00275C8B">
      <w:pPr>
        <w:pStyle w:val="SemEspaamento"/>
        <w:rPr>
          <w:sz w:val="18"/>
          <w:szCs w:val="18"/>
        </w:rPr>
      </w:pPr>
      <w:r w:rsidRPr="00E373FD">
        <w:rPr>
          <w:sz w:val="20"/>
          <w:szCs w:val="20"/>
        </w:rPr>
        <w:t xml:space="preserve"> </w:t>
      </w:r>
      <w:r w:rsidR="00275C8B" w:rsidRPr="007A7CAB">
        <w:rPr>
          <w:sz w:val="18"/>
          <w:szCs w:val="18"/>
        </w:rPr>
        <w:t>*</w:t>
      </w:r>
      <w:r w:rsidR="000C3469" w:rsidRPr="007A7CAB">
        <w:rPr>
          <w:sz w:val="18"/>
          <w:szCs w:val="18"/>
        </w:rPr>
        <w:t xml:space="preserve"> Escala de importância: (1) Sem importância; (2) Pouco importante; (3) Importante; (4) Muito importante e (5) Extremamente importante.</w:t>
      </w:r>
    </w:p>
    <w:p w:rsidR="000C3469" w:rsidRPr="007A7CAB" w:rsidRDefault="005407FA" w:rsidP="00275C8B">
      <w:pPr>
        <w:pStyle w:val="SemEspaamento"/>
        <w:rPr>
          <w:sz w:val="18"/>
          <w:szCs w:val="18"/>
        </w:rPr>
      </w:pPr>
      <w:r w:rsidRPr="007A7CAB">
        <w:rPr>
          <w:sz w:val="18"/>
          <w:szCs w:val="18"/>
        </w:rPr>
        <w:lastRenderedPageBreak/>
        <w:t xml:space="preserve">** </w:t>
      </w:r>
      <w:r w:rsidR="00C8345A" w:rsidRPr="007A7CAB">
        <w:rPr>
          <w:sz w:val="18"/>
          <w:szCs w:val="18"/>
        </w:rPr>
        <w:t xml:space="preserve">A classe de consenso foi uma medida criada para avaliar o grau de convergência dos valores em relação à mediana e, assim, a representatividade da </w:t>
      </w:r>
      <w:r w:rsidR="00E1114E" w:rsidRPr="007A7CAB">
        <w:rPr>
          <w:sz w:val="18"/>
          <w:szCs w:val="18"/>
        </w:rPr>
        <w:t>medida</w:t>
      </w:r>
      <w:r w:rsidR="00C8345A" w:rsidRPr="007A7CAB">
        <w:rPr>
          <w:sz w:val="18"/>
          <w:szCs w:val="18"/>
        </w:rPr>
        <w:t xml:space="preserve"> em relação ao conjunto de dados.</w:t>
      </w:r>
      <w:r w:rsidR="006253A6" w:rsidRPr="007A7CAB">
        <w:rPr>
          <w:sz w:val="18"/>
          <w:szCs w:val="18"/>
        </w:rPr>
        <w:t xml:space="preserve"> </w:t>
      </w:r>
    </w:p>
    <w:p w:rsidR="006D2C3E" w:rsidRPr="007D59BD" w:rsidRDefault="006D2C3E" w:rsidP="008C3811">
      <w:pPr>
        <w:pStyle w:val="Ttulo1"/>
        <w:rPr>
          <w:lang w:val="en-GB"/>
        </w:rPr>
      </w:pPr>
      <w:r w:rsidRPr="008C3811">
        <w:t>Conclusão</w:t>
      </w:r>
    </w:p>
    <w:p w:rsidR="00ED68D9" w:rsidRDefault="00ED68D9" w:rsidP="00ED68D9">
      <w:pPr>
        <w:pStyle w:val="para"/>
        <w:rPr>
          <w:rStyle w:val="apple-style-span"/>
          <w:rFonts w:eastAsia="Times"/>
          <w:color w:val="000000"/>
          <w:szCs w:val="24"/>
          <w:lang w:eastAsia="it-IT"/>
        </w:rPr>
      </w:pPr>
      <w:r w:rsidRPr="00ED68D9">
        <w:rPr>
          <w:rStyle w:val="apple-style-span"/>
          <w:rFonts w:eastAsia="Times"/>
          <w:color w:val="000000"/>
          <w:szCs w:val="24"/>
          <w:lang w:eastAsia="it-IT"/>
        </w:rPr>
        <w:t>Este estudo é um primeiro passo para o entendimento d</w:t>
      </w:r>
      <w:r w:rsidR="007D59BD">
        <w:rPr>
          <w:rStyle w:val="apple-style-span"/>
          <w:rFonts w:eastAsia="Times"/>
          <w:color w:val="000000"/>
          <w:szCs w:val="24"/>
          <w:lang w:eastAsia="it-IT"/>
        </w:rPr>
        <w:t>o comportamento do consumidor n</w:t>
      </w:r>
      <w:r w:rsidRPr="00ED68D9">
        <w:rPr>
          <w:rStyle w:val="apple-style-span"/>
          <w:rFonts w:eastAsia="Times"/>
          <w:color w:val="000000"/>
          <w:szCs w:val="24"/>
          <w:lang w:eastAsia="it-IT"/>
        </w:rPr>
        <w:t>o mercado de energia eólica de pequeno porte, pois diferentemente da eólica de grande porte, já consolidada no mercado, possuindo uma das tarifas mais baixas no mundo em termos de leilões</w:t>
      </w:r>
      <w:r w:rsidR="00CE21B9">
        <w:rPr>
          <w:rStyle w:val="apple-style-span"/>
          <w:rFonts w:eastAsia="Times"/>
          <w:color w:val="000000"/>
          <w:szCs w:val="24"/>
          <w:lang w:eastAsia="it-IT"/>
        </w:rPr>
        <w:t xml:space="preserve"> públicos de compra de energia</w:t>
      </w:r>
      <w:r w:rsidRPr="00ED68D9">
        <w:rPr>
          <w:rStyle w:val="apple-style-span"/>
          <w:rFonts w:eastAsia="Times"/>
          <w:color w:val="000000"/>
          <w:szCs w:val="24"/>
          <w:lang w:eastAsia="it-IT"/>
        </w:rPr>
        <w:t>, o segmento voltado ao uso de APP ainda necessita de suporte considerando seu aspecto de “indústria nascente”.</w:t>
      </w:r>
    </w:p>
    <w:p w:rsidR="00A72A96" w:rsidRDefault="00A72A96" w:rsidP="00A72A96">
      <w:pPr>
        <w:pStyle w:val="para"/>
        <w:rPr>
          <w:rFonts w:ascii="Times New Roman" w:hAnsi="Times New Roman"/>
          <w:snapToGrid w:val="0"/>
        </w:rPr>
      </w:pPr>
      <w:r>
        <w:t>A pesquisa procurou identificar os principais motivadores e os fatores determinantes percebidos pelo potencial consumidor que influenciam no processo de decisão de compra de um aerogerador de pequeno porte,</w:t>
      </w:r>
      <w:r w:rsidRPr="00665BD3">
        <w:rPr>
          <w:snapToGrid w:val="0"/>
        </w:rPr>
        <w:t xml:space="preserve"> auxiliando, assim, no entendimento das particularidades do mercado, considerando suas barreiras e perspectivas na visão </w:t>
      </w:r>
      <w:r>
        <w:rPr>
          <w:snapToGrid w:val="0"/>
        </w:rPr>
        <w:t>do consumidor final.</w:t>
      </w:r>
      <w:r w:rsidRPr="00F53F12">
        <w:rPr>
          <w:rFonts w:ascii="Times New Roman" w:hAnsi="Times New Roman"/>
          <w:snapToGrid w:val="0"/>
        </w:rPr>
        <w:t xml:space="preserve"> </w:t>
      </w:r>
    </w:p>
    <w:p w:rsidR="00ED68D9" w:rsidRPr="00ED68D9" w:rsidRDefault="00ED68D9" w:rsidP="00ED68D9">
      <w:pPr>
        <w:pStyle w:val="para"/>
        <w:rPr>
          <w:rStyle w:val="apple-style-span"/>
          <w:rFonts w:eastAsia="Times"/>
          <w:color w:val="000000"/>
          <w:szCs w:val="24"/>
          <w:lang w:eastAsia="it-IT"/>
        </w:rPr>
      </w:pPr>
      <w:r w:rsidRPr="00ED68D9">
        <w:rPr>
          <w:rStyle w:val="apple-style-span"/>
          <w:rFonts w:eastAsia="Times"/>
          <w:color w:val="000000"/>
          <w:szCs w:val="24"/>
          <w:lang w:eastAsia="it-IT"/>
        </w:rPr>
        <w:t>Pondera-se que o setor de pequeno porte pode ser um vetor de contribuição para a manutenção da matriz elétrica renovável no país, especialmente quando se considera o horizonte de longo prazo (10 a 15 anos), possibilitando</w:t>
      </w:r>
      <w:r w:rsidR="007D59BD">
        <w:rPr>
          <w:rStyle w:val="apple-style-span"/>
          <w:rFonts w:eastAsia="Times"/>
          <w:color w:val="000000"/>
          <w:szCs w:val="24"/>
          <w:lang w:eastAsia="it-IT"/>
        </w:rPr>
        <w:t xml:space="preserve"> a </w:t>
      </w:r>
      <w:r w:rsidRPr="00ED68D9">
        <w:rPr>
          <w:rStyle w:val="apple-style-span"/>
          <w:rFonts w:eastAsia="Times"/>
          <w:color w:val="000000"/>
          <w:szCs w:val="24"/>
          <w:lang w:eastAsia="it-IT"/>
        </w:rPr>
        <w:t>ampliação das alternativas de fornecimento</w:t>
      </w:r>
      <w:r w:rsidR="00E7068F">
        <w:rPr>
          <w:rStyle w:val="apple-style-span"/>
          <w:rFonts w:eastAsia="Times"/>
          <w:color w:val="000000"/>
          <w:szCs w:val="24"/>
          <w:lang w:eastAsia="it-IT"/>
        </w:rPr>
        <w:t xml:space="preserve"> de energia</w:t>
      </w:r>
      <w:r w:rsidRPr="00ED68D9">
        <w:rPr>
          <w:rStyle w:val="apple-style-span"/>
          <w:rFonts w:eastAsia="Times"/>
          <w:color w:val="000000"/>
          <w:szCs w:val="24"/>
          <w:lang w:eastAsia="it-IT"/>
        </w:rPr>
        <w:t xml:space="preserve"> </w:t>
      </w:r>
      <w:r w:rsidR="00E7068F">
        <w:rPr>
          <w:rStyle w:val="apple-style-span"/>
          <w:rFonts w:eastAsia="Times"/>
          <w:color w:val="000000"/>
          <w:szCs w:val="24"/>
          <w:lang w:eastAsia="it-IT"/>
        </w:rPr>
        <w:t xml:space="preserve">a </w:t>
      </w:r>
      <w:r w:rsidRPr="00ED68D9">
        <w:rPr>
          <w:rStyle w:val="apple-style-span"/>
          <w:rFonts w:eastAsia="Times"/>
          <w:color w:val="000000"/>
          <w:szCs w:val="24"/>
          <w:lang w:eastAsia="it-IT"/>
        </w:rPr>
        <w:t xml:space="preserve">grandes </w:t>
      </w:r>
      <w:r w:rsidR="00E7068F">
        <w:rPr>
          <w:rStyle w:val="apple-style-span"/>
          <w:rFonts w:eastAsia="Times"/>
          <w:color w:val="000000"/>
          <w:szCs w:val="24"/>
          <w:lang w:eastAsia="it-IT"/>
        </w:rPr>
        <w:t>centros urbanos e</w:t>
      </w:r>
      <w:r w:rsidRPr="00ED68D9">
        <w:rPr>
          <w:rStyle w:val="apple-style-span"/>
          <w:rFonts w:eastAsia="Times"/>
          <w:color w:val="000000"/>
          <w:szCs w:val="24"/>
          <w:lang w:eastAsia="it-IT"/>
        </w:rPr>
        <w:t xml:space="preserve"> tendo, ainda, desdobramentos positivos no crescimento de emprego e renda no país, </w:t>
      </w:r>
      <w:r w:rsidR="00E7068F">
        <w:rPr>
          <w:rStyle w:val="apple-style-span"/>
          <w:rFonts w:eastAsia="Times"/>
          <w:color w:val="000000"/>
          <w:szCs w:val="24"/>
          <w:lang w:eastAsia="it-IT"/>
        </w:rPr>
        <w:t>com possibilidade de abertura de</w:t>
      </w:r>
      <w:r w:rsidRPr="00ED68D9">
        <w:rPr>
          <w:rStyle w:val="apple-style-span"/>
          <w:rFonts w:eastAsia="Times"/>
          <w:color w:val="000000"/>
          <w:szCs w:val="24"/>
          <w:lang w:eastAsia="it-IT"/>
        </w:rPr>
        <w:t xml:space="preserve"> oportunidades de negócios para exportação. </w:t>
      </w:r>
    </w:p>
    <w:p w:rsidR="00ED68D9" w:rsidRDefault="00ED68D9" w:rsidP="00ED68D9">
      <w:pPr>
        <w:pStyle w:val="para"/>
        <w:rPr>
          <w:rStyle w:val="apple-style-span"/>
          <w:rFonts w:eastAsia="Times"/>
          <w:color w:val="000000"/>
          <w:szCs w:val="24"/>
          <w:lang w:eastAsia="it-IT"/>
        </w:rPr>
      </w:pPr>
      <w:r w:rsidRPr="00ED68D9">
        <w:rPr>
          <w:rStyle w:val="apple-style-span"/>
          <w:rFonts w:eastAsia="Times"/>
          <w:color w:val="000000"/>
          <w:szCs w:val="24"/>
          <w:lang w:eastAsia="it-IT"/>
        </w:rPr>
        <w:t>Reconhece-se o esforço da ag</w:t>
      </w:r>
      <w:r w:rsidR="00E7068F">
        <w:rPr>
          <w:rStyle w:val="apple-style-span"/>
          <w:rFonts w:eastAsia="Times"/>
          <w:color w:val="000000"/>
          <w:szCs w:val="24"/>
          <w:lang w:eastAsia="it-IT"/>
        </w:rPr>
        <w:t>ê</w:t>
      </w:r>
      <w:r w:rsidRPr="00ED68D9">
        <w:rPr>
          <w:rStyle w:val="apple-style-span"/>
          <w:rFonts w:eastAsia="Times"/>
          <w:color w:val="000000"/>
          <w:szCs w:val="24"/>
          <w:lang w:eastAsia="it-IT"/>
        </w:rPr>
        <w:t>ncia reguladora na busca de soluções no sentido de promover o uso da microgeração de energia elétrica no país, em particular por meio da Resolução Aneel nº 482/2012</w:t>
      </w:r>
      <w:r w:rsidR="00A72A96">
        <w:rPr>
          <w:rStyle w:val="apple-style-span"/>
          <w:rFonts w:eastAsia="Times"/>
          <w:color w:val="000000"/>
          <w:szCs w:val="24"/>
          <w:lang w:eastAsia="it-IT"/>
        </w:rPr>
        <w:t xml:space="preserve"> e </w:t>
      </w:r>
      <w:r w:rsidR="00A72A96">
        <w:t>nº 687/2015</w:t>
      </w:r>
      <w:r w:rsidRPr="00ED68D9">
        <w:rPr>
          <w:rStyle w:val="apple-style-span"/>
          <w:rFonts w:eastAsia="Times"/>
          <w:color w:val="000000"/>
          <w:szCs w:val="24"/>
          <w:lang w:eastAsia="it-IT"/>
        </w:rPr>
        <w:t>. Este</w:t>
      </w:r>
      <w:r w:rsidR="00A72A96">
        <w:rPr>
          <w:rStyle w:val="apple-style-span"/>
          <w:rFonts w:eastAsia="Times"/>
          <w:color w:val="000000"/>
          <w:szCs w:val="24"/>
          <w:lang w:eastAsia="it-IT"/>
        </w:rPr>
        <w:t>s</w:t>
      </w:r>
      <w:r w:rsidRPr="00ED68D9">
        <w:rPr>
          <w:rStyle w:val="apple-style-span"/>
          <w:rFonts w:eastAsia="Times"/>
          <w:color w:val="000000"/>
          <w:szCs w:val="24"/>
          <w:lang w:eastAsia="it-IT"/>
        </w:rPr>
        <w:t xml:space="preserve"> instrumento</w:t>
      </w:r>
      <w:r w:rsidR="00A72A96">
        <w:rPr>
          <w:rStyle w:val="apple-style-span"/>
          <w:rFonts w:eastAsia="Times"/>
          <w:color w:val="000000"/>
          <w:szCs w:val="24"/>
          <w:lang w:eastAsia="it-IT"/>
        </w:rPr>
        <w:t>s possibilitaram</w:t>
      </w:r>
      <w:r w:rsidRPr="00ED68D9">
        <w:rPr>
          <w:rStyle w:val="apple-style-span"/>
          <w:rFonts w:eastAsia="Times"/>
          <w:color w:val="000000"/>
          <w:szCs w:val="24"/>
          <w:lang w:eastAsia="it-IT"/>
        </w:rPr>
        <w:t xml:space="preserve"> a operacionalização da microgeração, sendo um mecanismo também de divulgação. No entanto, o conhecimento do consumidor final sobre eólica de pequeno porte, ou até mesmo de outras tecnologias, ainda é </w:t>
      </w:r>
      <w:r w:rsidR="00A72A96">
        <w:rPr>
          <w:rStyle w:val="apple-style-span"/>
          <w:rFonts w:eastAsia="Times"/>
          <w:color w:val="000000"/>
          <w:szCs w:val="24"/>
          <w:lang w:eastAsia="it-IT"/>
        </w:rPr>
        <w:t>infante</w:t>
      </w:r>
      <w:r w:rsidRPr="00ED68D9">
        <w:rPr>
          <w:rStyle w:val="apple-style-span"/>
          <w:rFonts w:eastAsia="Times"/>
          <w:color w:val="000000"/>
          <w:szCs w:val="24"/>
          <w:lang w:eastAsia="it-IT"/>
        </w:rPr>
        <w:t xml:space="preserve">. </w:t>
      </w:r>
      <w:r w:rsidR="00A72A96">
        <w:rPr>
          <w:rStyle w:val="apple-style-span"/>
          <w:rFonts w:eastAsia="Times"/>
          <w:color w:val="000000"/>
          <w:szCs w:val="24"/>
          <w:lang w:eastAsia="it-IT"/>
        </w:rPr>
        <w:t xml:space="preserve">No entanto ainda </w:t>
      </w:r>
      <w:r w:rsidRPr="00ED68D9">
        <w:rPr>
          <w:rStyle w:val="apple-style-span"/>
          <w:rFonts w:eastAsia="Times"/>
          <w:color w:val="000000"/>
          <w:szCs w:val="24"/>
          <w:lang w:eastAsia="it-IT"/>
        </w:rPr>
        <w:t>existe espaço para aprimoramento das questões regulatórias, especialmente no que tange à necessidade de acelerar a penetração da tecnologia, tendo em mente um horizonte de 10 a 15 anos para a consolidação deste mercado</w:t>
      </w:r>
      <w:r w:rsidR="00A72A96">
        <w:rPr>
          <w:rStyle w:val="apple-style-span"/>
          <w:rFonts w:eastAsia="Times"/>
          <w:color w:val="000000"/>
          <w:szCs w:val="24"/>
          <w:lang w:eastAsia="it-IT"/>
        </w:rPr>
        <w:t>, considerando ainda o contexto das mudanças climáticas</w:t>
      </w:r>
      <w:r w:rsidRPr="00ED68D9">
        <w:rPr>
          <w:rStyle w:val="apple-style-span"/>
          <w:rFonts w:eastAsia="Times"/>
          <w:color w:val="000000"/>
          <w:szCs w:val="24"/>
          <w:lang w:eastAsia="it-IT"/>
        </w:rPr>
        <w:t>.</w:t>
      </w:r>
    </w:p>
    <w:sdt>
      <w:sdtPr>
        <w:rPr>
          <w:b w:val="0"/>
          <w:caps w:val="0"/>
          <w:lang w:val="pt-BR" w:eastAsia="en-US"/>
        </w:rPr>
        <w:id w:val="-1969433510"/>
        <w:docPartObj>
          <w:docPartGallery w:val="Bibliographies"/>
          <w:docPartUnique/>
        </w:docPartObj>
      </w:sdtPr>
      <w:sdtContent>
        <w:p w:rsidR="001D4F73" w:rsidRDefault="001D4F73" w:rsidP="001D4F73">
          <w:pPr>
            <w:pStyle w:val="Ttulo1"/>
          </w:pPr>
          <w:r>
            <w:rPr>
              <w:lang w:val="pt-BR"/>
            </w:rPr>
            <w:t>Bibliografia</w:t>
          </w:r>
        </w:p>
        <w:sdt>
          <w:sdtPr>
            <w:id w:val="111145805"/>
            <w:bibliography/>
          </w:sdtPr>
          <w:sdtContent>
            <w:p w:rsidR="00D96765" w:rsidRDefault="00940D78" w:rsidP="00D96765">
              <w:pPr>
                <w:pStyle w:val="Bibliografia"/>
                <w:rPr>
                  <w:noProof/>
                  <w:vanish/>
                </w:rPr>
              </w:pPr>
              <w:r w:rsidRPr="00940D78">
                <w:fldChar w:fldCharType="begin"/>
              </w:r>
              <w:r w:rsidR="001D4F73">
                <w:instrText>BIBLIOGRAPHY</w:instrText>
              </w:r>
              <w:r w:rsidRPr="00940D78">
                <w:fldChar w:fldCharType="separate"/>
              </w:r>
              <w:r w:rsidR="00D96765">
                <w:rPr>
                  <w:noProof/>
                  <w:vanish/>
                </w:rPr>
                <w:t>x</w:t>
              </w:r>
            </w:p>
            <w:tbl>
              <w:tblPr>
                <w:tblW w:w="5000" w:type="pct"/>
                <w:tblCellSpacing w:w="15" w:type="dxa"/>
                <w:tblCellMar>
                  <w:top w:w="15" w:type="dxa"/>
                  <w:left w:w="15" w:type="dxa"/>
                  <w:bottom w:w="15" w:type="dxa"/>
                  <w:right w:w="15" w:type="dxa"/>
                </w:tblCellMar>
                <w:tblLook w:val="04A0"/>
              </w:tblPr>
              <w:tblGrid>
                <w:gridCol w:w="476"/>
                <w:gridCol w:w="9962"/>
              </w:tblGrid>
              <w:tr w:rsidR="00D96765" w:rsidTr="00D96765">
                <w:trPr>
                  <w:tblCellSpacing w:w="15" w:type="dxa"/>
                </w:trPr>
                <w:tc>
                  <w:tcPr>
                    <w:tcW w:w="0" w:type="auto"/>
                    <w:hideMark/>
                  </w:tcPr>
                  <w:p w:rsidR="00D96765" w:rsidRDefault="00D96765">
                    <w:pPr>
                      <w:pStyle w:val="Bibliografia"/>
                      <w:jc w:val="right"/>
                      <w:rPr>
                        <w:rFonts w:eastAsiaTheme="minorEastAsia"/>
                        <w:noProof/>
                      </w:rPr>
                    </w:pPr>
                    <w:bookmarkStart w:id="4" w:name="EPE16"/>
                    <w:r>
                      <w:rPr>
                        <w:noProof/>
                      </w:rPr>
                      <w:t>[1]</w:t>
                    </w:r>
                    <w:bookmarkEnd w:id="4"/>
                  </w:p>
                </w:tc>
                <w:tc>
                  <w:tcPr>
                    <w:tcW w:w="0" w:type="auto"/>
                    <w:hideMark/>
                  </w:tcPr>
                  <w:p w:rsidR="00D96765" w:rsidRDefault="00D96765">
                    <w:pPr>
                      <w:pStyle w:val="Bibliografia"/>
                      <w:rPr>
                        <w:rFonts w:eastAsiaTheme="minorEastAsia"/>
                        <w:noProof/>
                      </w:rPr>
                    </w:pPr>
                    <w:r>
                      <w:rPr>
                        <w:noProof/>
                      </w:rPr>
                      <w:t xml:space="preserve">EPE 2016. </w:t>
                    </w:r>
                    <w:r>
                      <w:rPr>
                        <w:i/>
                        <w:iCs/>
                        <w:noProof/>
                      </w:rPr>
                      <w:t>Anuário Estatístico de Energia Elétrica – ano base 2015</w:t>
                    </w:r>
                    <w:r>
                      <w:rPr>
                        <w:noProof/>
                      </w:rPr>
                      <w:t>. Rio de Janeiro, Brasil: Empresa de Pesquisa Energética – EPE.</w:t>
                    </w:r>
                  </w:p>
                </w:tc>
              </w:tr>
              <w:tr w:rsidR="00D96765" w:rsidRPr="00C86F5F" w:rsidTr="00D96765">
                <w:trPr>
                  <w:tblCellSpacing w:w="15" w:type="dxa"/>
                </w:trPr>
                <w:tc>
                  <w:tcPr>
                    <w:tcW w:w="0" w:type="auto"/>
                    <w:hideMark/>
                  </w:tcPr>
                  <w:p w:rsidR="00D96765" w:rsidRDefault="00D96765">
                    <w:pPr>
                      <w:pStyle w:val="Bibliografia"/>
                      <w:jc w:val="right"/>
                      <w:rPr>
                        <w:rFonts w:eastAsiaTheme="minorEastAsia"/>
                        <w:noProof/>
                      </w:rPr>
                    </w:pPr>
                    <w:bookmarkStart w:id="5" w:name="Zar03"/>
                    <w:r>
                      <w:rPr>
                        <w:noProof/>
                      </w:rPr>
                      <w:t>[2]</w:t>
                    </w:r>
                    <w:bookmarkEnd w:id="5"/>
                  </w:p>
                </w:tc>
                <w:tc>
                  <w:tcPr>
                    <w:tcW w:w="0" w:type="auto"/>
                    <w:hideMark/>
                  </w:tcPr>
                  <w:p w:rsidR="00D96765" w:rsidRPr="00C86F5F" w:rsidRDefault="00D96765">
                    <w:pPr>
                      <w:pStyle w:val="Bibliografia"/>
                      <w:rPr>
                        <w:rFonts w:eastAsiaTheme="minorEastAsia"/>
                        <w:noProof/>
                        <w:lang w:val="en-US"/>
                      </w:rPr>
                    </w:pPr>
                    <w:r w:rsidRPr="00C86F5F">
                      <w:rPr>
                        <w:noProof/>
                        <w:lang w:val="en-US"/>
                      </w:rPr>
                      <w:t xml:space="preserve">Zarnikau, J. 2003. "Consumer demand for "green power" and energy efficiency," </w:t>
                    </w:r>
                    <w:r w:rsidRPr="00C86F5F">
                      <w:rPr>
                        <w:i/>
                        <w:iCs/>
                        <w:noProof/>
                        <w:lang w:val="en-US"/>
                      </w:rPr>
                      <w:t>Energy Policy</w:t>
                    </w:r>
                    <w:r w:rsidRPr="00C86F5F">
                      <w:rPr>
                        <w:noProof/>
                        <w:lang w:val="en-US"/>
                      </w:rPr>
                      <w:t>, vol. 31, no. 15, pp. 1661-1672.</w:t>
                    </w:r>
                  </w:p>
                </w:tc>
              </w:tr>
              <w:tr w:rsidR="00D96765" w:rsidRPr="00C86F5F" w:rsidTr="00D96765">
                <w:trPr>
                  <w:tblCellSpacing w:w="15" w:type="dxa"/>
                </w:trPr>
                <w:tc>
                  <w:tcPr>
                    <w:tcW w:w="0" w:type="auto"/>
                    <w:hideMark/>
                  </w:tcPr>
                  <w:p w:rsidR="00D96765" w:rsidRDefault="00D96765">
                    <w:pPr>
                      <w:pStyle w:val="Bibliografia"/>
                      <w:jc w:val="right"/>
                      <w:rPr>
                        <w:rFonts w:eastAsiaTheme="minorEastAsia"/>
                        <w:noProof/>
                      </w:rPr>
                    </w:pPr>
                    <w:bookmarkStart w:id="6" w:name="SCH07"/>
                    <w:r>
                      <w:rPr>
                        <w:noProof/>
                      </w:rPr>
                      <w:t>[3]</w:t>
                    </w:r>
                    <w:bookmarkEnd w:id="6"/>
                  </w:p>
                </w:tc>
                <w:tc>
                  <w:tcPr>
                    <w:tcW w:w="0" w:type="auto"/>
                    <w:hideMark/>
                  </w:tcPr>
                  <w:p w:rsidR="00D96765" w:rsidRPr="00C86F5F" w:rsidRDefault="00D96765">
                    <w:pPr>
                      <w:pStyle w:val="Bibliografia"/>
                      <w:rPr>
                        <w:rFonts w:eastAsiaTheme="minorEastAsia"/>
                        <w:noProof/>
                        <w:lang w:val="en-US"/>
                      </w:rPr>
                    </w:pPr>
                    <w:r w:rsidRPr="00C86F5F">
                      <w:rPr>
                        <w:noProof/>
                        <w:lang w:val="en-US"/>
                      </w:rPr>
                      <w:t xml:space="preserve">SCHIFFMAN, L. G. &amp; KANUK, L. L. 2007. </w:t>
                    </w:r>
                    <w:r w:rsidRPr="00C86F5F">
                      <w:rPr>
                        <w:i/>
                        <w:iCs/>
                        <w:noProof/>
                        <w:lang w:val="en-US"/>
                      </w:rPr>
                      <w:t>Consumer Behavior</w:t>
                    </w:r>
                    <w:r w:rsidRPr="00C86F5F">
                      <w:rPr>
                        <w:noProof/>
                        <w:lang w:val="en-US"/>
                      </w:rPr>
                      <w:t>, 9th ed. Prentice Hall: New Jersey.</w:t>
                    </w:r>
                  </w:p>
                </w:tc>
              </w:tr>
              <w:tr w:rsidR="00D96765" w:rsidTr="00D96765">
                <w:trPr>
                  <w:tblCellSpacing w:w="15" w:type="dxa"/>
                </w:trPr>
                <w:tc>
                  <w:tcPr>
                    <w:tcW w:w="0" w:type="auto"/>
                    <w:hideMark/>
                  </w:tcPr>
                  <w:p w:rsidR="00D96765" w:rsidRDefault="00D96765">
                    <w:pPr>
                      <w:pStyle w:val="Bibliografia"/>
                      <w:jc w:val="right"/>
                      <w:rPr>
                        <w:rFonts w:eastAsiaTheme="minorEastAsia"/>
                        <w:noProof/>
                      </w:rPr>
                    </w:pPr>
                    <w:bookmarkStart w:id="7" w:name="Sim57"/>
                    <w:r>
                      <w:rPr>
                        <w:noProof/>
                      </w:rPr>
                      <w:lastRenderedPageBreak/>
                      <w:t>[4]</w:t>
                    </w:r>
                    <w:bookmarkEnd w:id="7"/>
                  </w:p>
                </w:tc>
                <w:tc>
                  <w:tcPr>
                    <w:tcW w:w="0" w:type="auto"/>
                    <w:hideMark/>
                  </w:tcPr>
                  <w:p w:rsidR="00D96765" w:rsidRDefault="00D96765">
                    <w:pPr>
                      <w:pStyle w:val="Bibliografia"/>
                      <w:rPr>
                        <w:rFonts w:eastAsiaTheme="minorEastAsia"/>
                        <w:noProof/>
                      </w:rPr>
                    </w:pPr>
                    <w:r w:rsidRPr="00C86F5F">
                      <w:rPr>
                        <w:noProof/>
                        <w:lang w:val="en-US"/>
                      </w:rPr>
                      <w:t xml:space="preserve">Simon, Herbert 1957. "A Behavioral Model of Rational Choice," in </w:t>
                    </w:r>
                    <w:r w:rsidRPr="00C86F5F">
                      <w:rPr>
                        <w:i/>
                        <w:iCs/>
                        <w:noProof/>
                        <w:lang w:val="en-US"/>
                      </w:rPr>
                      <w:t>Models of Man: Social and Rational- Mathematical Essays on Rational Human Behavior in a Social Setting</w:t>
                    </w:r>
                    <w:r w:rsidRPr="00C86F5F">
                      <w:rPr>
                        <w:noProof/>
                        <w:lang w:val="en-US"/>
                      </w:rPr>
                      <w:t xml:space="preserve">. </w:t>
                    </w:r>
                    <w:r>
                      <w:rPr>
                        <w:noProof/>
                      </w:rPr>
                      <w:t>New York: Wiley.</w:t>
                    </w:r>
                  </w:p>
                </w:tc>
              </w:tr>
              <w:tr w:rsidR="00D96765" w:rsidRPr="00C86F5F" w:rsidTr="00D96765">
                <w:trPr>
                  <w:tblCellSpacing w:w="15" w:type="dxa"/>
                </w:trPr>
                <w:tc>
                  <w:tcPr>
                    <w:tcW w:w="0" w:type="auto"/>
                    <w:hideMark/>
                  </w:tcPr>
                  <w:p w:rsidR="00D96765" w:rsidRDefault="00D96765">
                    <w:pPr>
                      <w:pStyle w:val="Bibliografia"/>
                      <w:jc w:val="right"/>
                      <w:rPr>
                        <w:rFonts w:eastAsiaTheme="minorEastAsia"/>
                        <w:noProof/>
                      </w:rPr>
                    </w:pPr>
                    <w:bookmarkStart w:id="8" w:name="Dee17"/>
                    <w:r>
                      <w:rPr>
                        <w:noProof/>
                      </w:rPr>
                      <w:t>[5]</w:t>
                    </w:r>
                    <w:bookmarkEnd w:id="8"/>
                  </w:p>
                </w:tc>
                <w:tc>
                  <w:tcPr>
                    <w:tcW w:w="0" w:type="auto"/>
                    <w:hideMark/>
                  </w:tcPr>
                  <w:p w:rsidR="00D96765" w:rsidRPr="00C86F5F" w:rsidRDefault="00D96765">
                    <w:pPr>
                      <w:pStyle w:val="Bibliografia"/>
                      <w:rPr>
                        <w:rFonts w:eastAsiaTheme="minorEastAsia"/>
                        <w:noProof/>
                        <w:lang w:val="en-US"/>
                      </w:rPr>
                    </w:pPr>
                    <w:r>
                      <w:rPr>
                        <w:noProof/>
                      </w:rPr>
                      <w:t xml:space="preserve">Deepak Sangroya, Jogendra Kumar Nayak 2017. </w:t>
                    </w:r>
                    <w:r w:rsidRPr="00C86F5F">
                      <w:rPr>
                        <w:noProof/>
                        <w:lang w:val="en-US"/>
                      </w:rPr>
                      <w:t xml:space="preserve">"Factors influencing buying behaviour of green energy consumer," </w:t>
                    </w:r>
                    <w:r w:rsidRPr="00C86F5F">
                      <w:rPr>
                        <w:i/>
                        <w:iCs/>
                        <w:noProof/>
                        <w:lang w:val="en-US"/>
                      </w:rPr>
                      <w:t xml:space="preserve">Journal of Cleaner Production </w:t>
                    </w:r>
                    <w:r w:rsidRPr="00C86F5F">
                      <w:rPr>
                        <w:noProof/>
                        <w:lang w:val="en-US"/>
                      </w:rPr>
                      <w:t>, vol. 151, pp. 393-405.</w:t>
                    </w:r>
                  </w:p>
                </w:tc>
              </w:tr>
              <w:tr w:rsidR="00D96765" w:rsidTr="00D96765">
                <w:trPr>
                  <w:tblCellSpacing w:w="15" w:type="dxa"/>
                </w:trPr>
                <w:tc>
                  <w:tcPr>
                    <w:tcW w:w="0" w:type="auto"/>
                    <w:hideMark/>
                  </w:tcPr>
                  <w:p w:rsidR="00D96765" w:rsidRDefault="00D96765">
                    <w:pPr>
                      <w:pStyle w:val="Bibliografia"/>
                      <w:jc w:val="right"/>
                      <w:rPr>
                        <w:rFonts w:eastAsiaTheme="minorEastAsia"/>
                        <w:noProof/>
                      </w:rPr>
                    </w:pPr>
                    <w:bookmarkStart w:id="9" w:name="ANE16"/>
                    <w:r>
                      <w:rPr>
                        <w:noProof/>
                      </w:rPr>
                      <w:t>[6]</w:t>
                    </w:r>
                    <w:bookmarkEnd w:id="9"/>
                  </w:p>
                </w:tc>
                <w:tc>
                  <w:tcPr>
                    <w:tcW w:w="0" w:type="auto"/>
                    <w:hideMark/>
                  </w:tcPr>
                  <w:p w:rsidR="00D96765" w:rsidRDefault="00D96765">
                    <w:pPr>
                      <w:pStyle w:val="Bibliografia"/>
                      <w:rPr>
                        <w:rFonts w:eastAsiaTheme="minorEastAsia"/>
                        <w:noProof/>
                      </w:rPr>
                    </w:pPr>
                    <w:r>
                      <w:rPr>
                        <w:noProof/>
                      </w:rPr>
                      <w:t xml:space="preserve">ANEEL 2016. </w:t>
                    </w:r>
                    <w:r>
                      <w:rPr>
                        <w:i/>
                        <w:iCs/>
                        <w:noProof/>
                      </w:rPr>
                      <w:t>Micro e minigeração distribuída: sistema de compensação de energia elétrica</w:t>
                    </w:r>
                    <w:r>
                      <w:rPr>
                        <w:noProof/>
                      </w:rPr>
                      <w:t>, 2nd ed. Brasília: Agência Nacional de Energia Elétrica.</w:t>
                    </w:r>
                  </w:p>
                </w:tc>
              </w:tr>
              <w:tr w:rsidR="00D96765" w:rsidTr="00D96765">
                <w:trPr>
                  <w:tblCellSpacing w:w="15" w:type="dxa"/>
                </w:trPr>
                <w:tc>
                  <w:tcPr>
                    <w:tcW w:w="0" w:type="auto"/>
                    <w:hideMark/>
                  </w:tcPr>
                  <w:p w:rsidR="00D96765" w:rsidRDefault="00D96765">
                    <w:pPr>
                      <w:pStyle w:val="Bibliografia"/>
                      <w:jc w:val="right"/>
                      <w:rPr>
                        <w:rFonts w:eastAsiaTheme="minorEastAsia"/>
                        <w:noProof/>
                      </w:rPr>
                    </w:pPr>
                    <w:bookmarkStart w:id="10" w:name="EST14"/>
                    <w:r>
                      <w:rPr>
                        <w:noProof/>
                      </w:rPr>
                      <w:t>[7]</w:t>
                    </w:r>
                    <w:bookmarkEnd w:id="10"/>
                  </w:p>
                </w:tc>
                <w:tc>
                  <w:tcPr>
                    <w:tcW w:w="0" w:type="auto"/>
                    <w:hideMark/>
                  </w:tcPr>
                  <w:p w:rsidR="00D96765" w:rsidRDefault="00D96765">
                    <w:pPr>
                      <w:pStyle w:val="Bibliografia"/>
                      <w:rPr>
                        <w:rFonts w:eastAsiaTheme="minorEastAsia"/>
                        <w:noProof/>
                      </w:rPr>
                    </w:pPr>
                    <w:r w:rsidRPr="00C86F5F">
                      <w:rPr>
                        <w:noProof/>
                        <w:lang w:val="en-US"/>
                      </w:rPr>
                      <w:t xml:space="preserve">Energy Saving Trust 2012. </w:t>
                    </w:r>
                    <w:r w:rsidRPr="00C86F5F">
                      <w:rPr>
                        <w:i/>
                        <w:iCs/>
                        <w:noProof/>
                        <w:lang w:val="en-US"/>
                      </w:rPr>
                      <w:t>A buyer’s guide to wind power</w:t>
                    </w:r>
                    <w:r w:rsidRPr="00C86F5F">
                      <w:rPr>
                        <w:noProof/>
                        <w:lang w:val="en-US"/>
                      </w:rPr>
                      <w:t xml:space="preserve">. </w:t>
                    </w:r>
                    <w:r>
                      <w:rPr>
                        <w:noProof/>
                      </w:rPr>
                      <w:t>London: Energy Saving Trust.</w:t>
                    </w:r>
                  </w:p>
                </w:tc>
              </w:tr>
              <w:tr w:rsidR="00D96765" w:rsidRPr="00C86F5F" w:rsidTr="00D96765">
                <w:trPr>
                  <w:tblCellSpacing w:w="15" w:type="dxa"/>
                </w:trPr>
                <w:tc>
                  <w:tcPr>
                    <w:tcW w:w="0" w:type="auto"/>
                    <w:hideMark/>
                  </w:tcPr>
                  <w:p w:rsidR="00D96765" w:rsidRDefault="00D96765">
                    <w:pPr>
                      <w:pStyle w:val="Bibliografia"/>
                      <w:jc w:val="right"/>
                      <w:rPr>
                        <w:rFonts w:eastAsiaTheme="minorEastAsia"/>
                        <w:noProof/>
                      </w:rPr>
                    </w:pPr>
                    <w:bookmarkStart w:id="11" w:name="Har12"/>
                    <w:r>
                      <w:rPr>
                        <w:noProof/>
                      </w:rPr>
                      <w:t>[8]</w:t>
                    </w:r>
                    <w:bookmarkEnd w:id="11"/>
                  </w:p>
                </w:tc>
                <w:tc>
                  <w:tcPr>
                    <w:tcW w:w="0" w:type="auto"/>
                    <w:hideMark/>
                  </w:tcPr>
                  <w:p w:rsidR="00D96765" w:rsidRPr="00C86F5F" w:rsidRDefault="00D96765">
                    <w:pPr>
                      <w:pStyle w:val="Bibliografia"/>
                      <w:rPr>
                        <w:rFonts w:eastAsiaTheme="minorEastAsia"/>
                        <w:noProof/>
                        <w:lang w:val="en-US"/>
                      </w:rPr>
                    </w:pPr>
                    <w:r w:rsidRPr="00C86F5F">
                      <w:rPr>
                        <w:noProof/>
                        <w:lang w:val="en-US"/>
                      </w:rPr>
                      <w:t xml:space="preserve">Hartmann, P. &amp; Apaolaza-Ibáñez, V. 2012. "Consumer attitude and purchase intention toward green energy brands: the roles of psychological benefits and environmental concern," </w:t>
                    </w:r>
                    <w:r w:rsidRPr="00C86F5F">
                      <w:rPr>
                        <w:i/>
                        <w:iCs/>
                        <w:noProof/>
                        <w:lang w:val="en-US"/>
                      </w:rPr>
                      <w:t>J. Bus. Res.</w:t>
                    </w:r>
                    <w:r w:rsidRPr="00C86F5F">
                      <w:rPr>
                        <w:noProof/>
                        <w:lang w:val="en-US"/>
                      </w:rPr>
                      <w:t>, vol. 65, no. 9, pp. 1254-1263.</w:t>
                    </w:r>
                  </w:p>
                </w:tc>
              </w:tr>
              <w:tr w:rsidR="00D96765" w:rsidRPr="00C86F5F" w:rsidTr="00D96765">
                <w:trPr>
                  <w:tblCellSpacing w:w="15" w:type="dxa"/>
                </w:trPr>
                <w:tc>
                  <w:tcPr>
                    <w:tcW w:w="0" w:type="auto"/>
                    <w:hideMark/>
                  </w:tcPr>
                  <w:p w:rsidR="00D96765" w:rsidRDefault="00D96765">
                    <w:pPr>
                      <w:pStyle w:val="Bibliografia"/>
                      <w:jc w:val="right"/>
                      <w:rPr>
                        <w:rFonts w:eastAsiaTheme="minorEastAsia"/>
                        <w:noProof/>
                      </w:rPr>
                    </w:pPr>
                    <w:bookmarkStart w:id="12" w:name="EspaçoReservado1"/>
                    <w:r>
                      <w:rPr>
                        <w:noProof/>
                      </w:rPr>
                      <w:t>[9]</w:t>
                    </w:r>
                    <w:bookmarkEnd w:id="12"/>
                  </w:p>
                </w:tc>
                <w:tc>
                  <w:tcPr>
                    <w:tcW w:w="0" w:type="auto"/>
                    <w:hideMark/>
                  </w:tcPr>
                  <w:p w:rsidR="00D96765" w:rsidRPr="00C86F5F" w:rsidRDefault="00D96765">
                    <w:pPr>
                      <w:pStyle w:val="Bibliografia"/>
                      <w:rPr>
                        <w:rFonts w:eastAsiaTheme="minorEastAsia"/>
                        <w:noProof/>
                        <w:lang w:val="en-US"/>
                      </w:rPr>
                    </w:pPr>
                    <w:r>
                      <w:rPr>
                        <w:noProof/>
                      </w:rPr>
                      <w:t xml:space="preserve">Sangroya, Deepak &amp; Nayak, Jogendra Kumar 2017. </w:t>
                    </w:r>
                    <w:r w:rsidRPr="00C86F5F">
                      <w:rPr>
                        <w:noProof/>
                        <w:lang w:val="en-US"/>
                      </w:rPr>
                      <w:t xml:space="preserve">"Factors influencing buying behaviour of green energy consumer," </w:t>
                    </w:r>
                    <w:r w:rsidRPr="00C86F5F">
                      <w:rPr>
                        <w:i/>
                        <w:iCs/>
                        <w:noProof/>
                        <w:lang w:val="en-US"/>
                      </w:rPr>
                      <w:t>Journal of Cleaner Production</w:t>
                    </w:r>
                    <w:r w:rsidRPr="00C86F5F">
                      <w:rPr>
                        <w:noProof/>
                        <w:lang w:val="en-US"/>
                      </w:rPr>
                      <w:t>, vol. 151, pp. 393-405.</w:t>
                    </w:r>
                  </w:p>
                </w:tc>
              </w:tr>
              <w:tr w:rsidR="00D96765" w:rsidTr="00D96765">
                <w:trPr>
                  <w:tblCellSpacing w:w="15" w:type="dxa"/>
                </w:trPr>
                <w:tc>
                  <w:tcPr>
                    <w:tcW w:w="0" w:type="auto"/>
                    <w:hideMark/>
                  </w:tcPr>
                  <w:p w:rsidR="00D96765" w:rsidRDefault="00D96765">
                    <w:pPr>
                      <w:pStyle w:val="Bibliografia"/>
                      <w:jc w:val="right"/>
                      <w:rPr>
                        <w:rFonts w:eastAsiaTheme="minorEastAsia"/>
                        <w:noProof/>
                      </w:rPr>
                    </w:pPr>
                    <w:r>
                      <w:rPr>
                        <w:noProof/>
                      </w:rPr>
                      <w:t>[10]</w:t>
                    </w:r>
                  </w:p>
                </w:tc>
                <w:tc>
                  <w:tcPr>
                    <w:tcW w:w="0" w:type="auto"/>
                    <w:hideMark/>
                  </w:tcPr>
                  <w:p w:rsidR="00D96765" w:rsidRDefault="00D96765">
                    <w:pPr>
                      <w:pStyle w:val="Bibliografia"/>
                      <w:rPr>
                        <w:rFonts w:eastAsiaTheme="minorEastAsia"/>
                        <w:noProof/>
                      </w:rPr>
                    </w:pPr>
                    <w:r>
                      <w:rPr>
                        <w:noProof/>
                      </w:rPr>
                      <w:t xml:space="preserve">IBGE (2015). Sistema IBGE de Recuperação Automática - SIDRA. [Online]. </w:t>
                    </w:r>
                    <w:hyperlink r:id="rId10" w:history="1">
                      <w:r>
                        <w:rPr>
                          <w:rStyle w:val="Hyperlink"/>
                          <w:noProof/>
                        </w:rPr>
                        <w:t>https://sidra.ibge.gov.br/home/pmc/brasil</w:t>
                      </w:r>
                    </w:hyperlink>
                  </w:p>
                </w:tc>
              </w:tr>
              <w:tr w:rsidR="00D96765" w:rsidTr="00D96765">
                <w:trPr>
                  <w:tblCellSpacing w:w="15" w:type="dxa"/>
                </w:trPr>
                <w:tc>
                  <w:tcPr>
                    <w:tcW w:w="0" w:type="auto"/>
                    <w:hideMark/>
                  </w:tcPr>
                  <w:p w:rsidR="00D96765" w:rsidRDefault="00D96765">
                    <w:pPr>
                      <w:pStyle w:val="Bibliografia"/>
                      <w:jc w:val="right"/>
                      <w:rPr>
                        <w:rFonts w:eastAsiaTheme="minorEastAsia"/>
                        <w:noProof/>
                      </w:rPr>
                    </w:pPr>
                    <w:r>
                      <w:rPr>
                        <w:noProof/>
                      </w:rPr>
                      <w:t>[11]</w:t>
                    </w:r>
                  </w:p>
                </w:tc>
                <w:tc>
                  <w:tcPr>
                    <w:tcW w:w="0" w:type="auto"/>
                    <w:hideMark/>
                  </w:tcPr>
                  <w:p w:rsidR="00D96765" w:rsidRDefault="00D96765">
                    <w:pPr>
                      <w:pStyle w:val="Bibliografia"/>
                      <w:rPr>
                        <w:rFonts w:eastAsiaTheme="minorEastAsia"/>
                        <w:noProof/>
                      </w:rPr>
                    </w:pPr>
                    <w:r>
                      <w:rPr>
                        <w:noProof/>
                      </w:rPr>
                      <w:t xml:space="preserve">IBGE (2015). Brasil em Síntese. [Online]. </w:t>
                    </w:r>
                    <w:hyperlink r:id="rId11" w:history="1">
                      <w:r>
                        <w:rPr>
                          <w:rStyle w:val="Hyperlink"/>
                          <w:noProof/>
                        </w:rPr>
                        <w:t>http://brasilemsintese.ibge.gov.br/educacao/anos-de-estudo.html</w:t>
                      </w:r>
                    </w:hyperlink>
                  </w:p>
                </w:tc>
              </w:tr>
              <w:tr w:rsidR="00D96765" w:rsidTr="00D96765">
                <w:trPr>
                  <w:tblCellSpacing w:w="15" w:type="dxa"/>
                </w:trPr>
                <w:tc>
                  <w:tcPr>
                    <w:tcW w:w="0" w:type="auto"/>
                    <w:hideMark/>
                  </w:tcPr>
                  <w:p w:rsidR="00D96765" w:rsidRDefault="00D96765">
                    <w:pPr>
                      <w:pStyle w:val="Bibliografia"/>
                      <w:jc w:val="right"/>
                      <w:rPr>
                        <w:rFonts w:eastAsiaTheme="minorEastAsia"/>
                        <w:noProof/>
                      </w:rPr>
                    </w:pPr>
                    <w:bookmarkStart w:id="13" w:name="Per15"/>
                    <w:r>
                      <w:rPr>
                        <w:noProof/>
                      </w:rPr>
                      <w:t>[12]</w:t>
                    </w:r>
                    <w:bookmarkEnd w:id="13"/>
                  </w:p>
                </w:tc>
                <w:tc>
                  <w:tcPr>
                    <w:tcW w:w="0" w:type="auto"/>
                    <w:hideMark/>
                  </w:tcPr>
                  <w:p w:rsidR="00D96765" w:rsidRDefault="00D96765">
                    <w:pPr>
                      <w:pStyle w:val="Bibliografia"/>
                      <w:rPr>
                        <w:rFonts w:eastAsiaTheme="minorEastAsia"/>
                        <w:noProof/>
                      </w:rPr>
                    </w:pPr>
                    <w:r>
                      <w:rPr>
                        <w:noProof/>
                      </w:rPr>
                      <w:t xml:space="preserve">Pereira, M. Giannini, Montezano, Bruno E. M. &amp; Dutra, Ricardo M. 2015. "Mercado de Energia Eólica de Pequeno Porte no Brasil: Percepção do Potencial Consumidor," in </w:t>
                    </w:r>
                    <w:r>
                      <w:rPr>
                        <w:i/>
                        <w:iCs/>
                        <w:noProof/>
                      </w:rPr>
                      <w:t>Brazil WindPower 2015 - Conference &amp; Exhibition</w:t>
                    </w:r>
                    <w:r>
                      <w:rPr>
                        <w:noProof/>
                      </w:rPr>
                      <w:t>, Rio de Janeiro.</w:t>
                    </w:r>
                  </w:p>
                </w:tc>
              </w:tr>
            </w:tbl>
            <w:p w:rsidR="00D96765" w:rsidRDefault="00D96765" w:rsidP="00D96765">
              <w:pPr>
                <w:pStyle w:val="Bibliografia"/>
                <w:rPr>
                  <w:rFonts w:eastAsiaTheme="minorEastAsia"/>
                  <w:noProof/>
                  <w:vanish/>
                </w:rPr>
              </w:pPr>
              <w:r>
                <w:rPr>
                  <w:noProof/>
                  <w:vanish/>
                </w:rPr>
                <w:t>x</w:t>
              </w:r>
            </w:p>
            <w:p w:rsidR="001D4F73" w:rsidRDefault="00940D78" w:rsidP="00D96765">
              <w:pPr>
                <w:spacing w:after="120" w:line="360" w:lineRule="auto"/>
              </w:pPr>
              <w:r>
                <w:rPr>
                  <w:b/>
                  <w:bCs/>
                </w:rPr>
                <w:fldChar w:fldCharType="end"/>
              </w:r>
            </w:p>
          </w:sdtContent>
        </w:sdt>
      </w:sdtContent>
    </w:sdt>
    <w:sectPr w:rsidR="001D4F73" w:rsidSect="00E006CB">
      <w:headerReference w:type="default" r:id="rId12"/>
      <w:footerReference w:type="default" r:id="rId13"/>
      <w:pgSz w:w="11904" w:h="16834"/>
      <w:pgMar w:top="2835" w:right="847" w:bottom="1276" w:left="709" w:header="568" w:footer="5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7A" w:rsidRDefault="009C507A">
      <w:r>
        <w:separator/>
      </w:r>
    </w:p>
  </w:endnote>
  <w:endnote w:type="continuationSeparator" w:id="0">
    <w:p w:rsidR="009C507A" w:rsidRDefault="009C5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E7" w:rsidRPr="00435100" w:rsidRDefault="004D36E7" w:rsidP="00267548">
    <w:pPr>
      <w:pStyle w:val="Rodap"/>
      <w:jc w:val="center"/>
    </w:pPr>
    <w:r>
      <w:rPr>
        <w:noProof/>
        <w:lang w:eastAsia="pt-BR"/>
      </w:rPr>
      <w:drawing>
        <wp:inline distT="0" distB="0" distL="0" distR="0">
          <wp:extent cx="6562725" cy="285750"/>
          <wp:effectExtent l="0" t="0" r="9525" b="0"/>
          <wp:docPr id="2" name="Imagem 2"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2857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7A" w:rsidRDefault="009C507A">
      <w:r>
        <w:separator/>
      </w:r>
    </w:p>
  </w:footnote>
  <w:footnote w:type="continuationSeparator" w:id="0">
    <w:p w:rsidR="009C507A" w:rsidRDefault="009C507A">
      <w:r>
        <w:continuationSeparator/>
      </w:r>
    </w:p>
  </w:footnote>
  <w:footnote w:id="1">
    <w:p w:rsidR="00445856" w:rsidRDefault="00445856">
      <w:pPr>
        <w:pStyle w:val="Textodenotaderodap"/>
      </w:pPr>
      <w:r>
        <w:rPr>
          <w:rStyle w:val="Refdenotaderodap"/>
        </w:rPr>
        <w:footnoteRef/>
      </w:r>
      <w:r>
        <w:t xml:space="preserve"> Aluno de mestrado em economia – IBMC-RJ.</w:t>
      </w:r>
    </w:p>
  </w:footnote>
  <w:footnote w:id="2">
    <w:p w:rsidR="004D36E7" w:rsidRDefault="004D36E7">
      <w:pPr>
        <w:pStyle w:val="Textodenotaderodap"/>
      </w:pPr>
      <w:r>
        <w:rPr>
          <w:rStyle w:val="Refdenotaderodap"/>
        </w:rPr>
        <w:footnoteRef/>
      </w:r>
      <w:r>
        <w:t xml:space="preserve"> </w:t>
      </w:r>
      <w:r w:rsidRPr="007A7CAB">
        <w:rPr>
          <w:sz w:val="18"/>
          <w:szCs w:val="18"/>
        </w:rPr>
        <w:t xml:space="preserve">Questionário disponível </w:t>
      </w:r>
      <w:r w:rsidRPr="007A7CAB">
        <w:rPr>
          <w:sz w:val="18"/>
          <w:szCs w:val="18"/>
          <w:lang w:eastAsia="zh-CN"/>
        </w:rPr>
        <w:t xml:space="preserve">para o público em geral </w:t>
      </w:r>
      <w:r w:rsidRPr="007A7CAB">
        <w:rPr>
          <w:sz w:val="18"/>
          <w:szCs w:val="18"/>
        </w:rPr>
        <w:t xml:space="preserve">no </w:t>
      </w:r>
      <w:proofErr w:type="spellStart"/>
      <w:r w:rsidRPr="007A7CAB">
        <w:rPr>
          <w:sz w:val="18"/>
          <w:szCs w:val="18"/>
          <w:lang w:eastAsia="zh-CN"/>
        </w:rPr>
        <w:t>minisite</w:t>
      </w:r>
      <w:proofErr w:type="spellEnd"/>
      <w:r w:rsidRPr="007A7CAB">
        <w:rPr>
          <w:sz w:val="18"/>
          <w:szCs w:val="18"/>
          <w:lang w:eastAsia="zh-CN"/>
        </w:rPr>
        <w:t xml:space="preserve"> Mercado de Aerogeradores de Pequeno porte - MAPP (http://www.cresesb.cepel.br/app/), além de diversas informações associadas à temática.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E7" w:rsidRDefault="004D36E7" w:rsidP="00267548">
    <w:pPr>
      <w:pStyle w:val="Cabealho"/>
      <w:jc w:val="center"/>
    </w:pPr>
    <w:r>
      <w:rPr>
        <w:noProof/>
        <w:lang w:eastAsia="pt-BR"/>
      </w:rPr>
      <w:drawing>
        <wp:inline distT="0" distB="0" distL="0" distR="0">
          <wp:extent cx="6565900" cy="1181100"/>
          <wp:effectExtent l="0" t="0" r="12700" b="12700"/>
          <wp:docPr id="3" name="Picture 3" descr="Macintosh HD:Users:doiis:Desktop: Trabalhos:BWP - Brazil Windpower:2017:Timbrado:cabec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oiis:Desktop: Trabalhos:BWP - Brazil Windpower:2017:Timbrado:cabeca_englis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5900" cy="1181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720" w:hanging="360"/>
      </w:pPr>
      <w:rPr>
        <w:rFonts w:ascii="Symbol" w:hAnsi="Symbol" w:cs="Symbol"/>
      </w:rPr>
    </w:lvl>
  </w:abstractNum>
  <w:abstractNum w:abstractNumId="2">
    <w:nsid w:val="10651A15"/>
    <w:multiLevelType w:val="hybridMultilevel"/>
    <w:tmpl w:val="8CB43658"/>
    <w:lvl w:ilvl="0" w:tplc="3A8EC28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DF66FB"/>
    <w:multiLevelType w:val="hybridMultilevel"/>
    <w:tmpl w:val="01125A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AE2493"/>
    <w:multiLevelType w:val="hybridMultilevel"/>
    <w:tmpl w:val="A4E43D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E23432"/>
    <w:multiLevelType w:val="hybridMultilevel"/>
    <w:tmpl w:val="3C469FD0"/>
    <w:lvl w:ilvl="0" w:tplc="17626CE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282EC1"/>
    <w:multiLevelType w:val="hybridMultilevel"/>
    <w:tmpl w:val="C7968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F25027"/>
    <w:multiLevelType w:val="hybridMultilevel"/>
    <w:tmpl w:val="6688D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AC750B"/>
    <w:multiLevelType w:val="hybridMultilevel"/>
    <w:tmpl w:val="01D498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9564EB"/>
    <w:multiLevelType w:val="hybridMultilevel"/>
    <w:tmpl w:val="BC7A1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0C3229"/>
    <w:multiLevelType w:val="hybridMultilevel"/>
    <w:tmpl w:val="0C3C9F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F9347B"/>
    <w:multiLevelType w:val="hybridMultilevel"/>
    <w:tmpl w:val="02ACE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8619E8"/>
    <w:multiLevelType w:val="hybridMultilevel"/>
    <w:tmpl w:val="22043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71745B"/>
    <w:multiLevelType w:val="hybridMultilevel"/>
    <w:tmpl w:val="43F8D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6910417"/>
    <w:multiLevelType w:val="hybridMultilevel"/>
    <w:tmpl w:val="0D223C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642EED"/>
    <w:multiLevelType w:val="hybridMultilevel"/>
    <w:tmpl w:val="1BEA4A4C"/>
    <w:lvl w:ilvl="0" w:tplc="372E4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A4F71"/>
    <w:multiLevelType w:val="hybridMultilevel"/>
    <w:tmpl w:val="C02E3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F772D1"/>
    <w:multiLevelType w:val="hybridMultilevel"/>
    <w:tmpl w:val="146E2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4B285F"/>
    <w:multiLevelType w:val="hybridMultilevel"/>
    <w:tmpl w:val="A47CC694"/>
    <w:lvl w:ilvl="0" w:tplc="80BE7E9C">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A77EBA"/>
    <w:multiLevelType w:val="hybridMultilevel"/>
    <w:tmpl w:val="DB28175A"/>
    <w:lvl w:ilvl="0" w:tplc="9E1C196E">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A92E37"/>
    <w:multiLevelType w:val="hybridMultilevel"/>
    <w:tmpl w:val="66CAB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7596B72"/>
    <w:multiLevelType w:val="hybridMultilevel"/>
    <w:tmpl w:val="6CB0F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F67070"/>
    <w:multiLevelType w:val="hybridMultilevel"/>
    <w:tmpl w:val="748EFA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9EB5466"/>
    <w:multiLevelType w:val="hybridMultilevel"/>
    <w:tmpl w:val="3DC29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F9231C"/>
    <w:multiLevelType w:val="hybridMultilevel"/>
    <w:tmpl w:val="4672F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903728C"/>
    <w:multiLevelType w:val="hybridMultilevel"/>
    <w:tmpl w:val="652E16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B1706ED"/>
    <w:multiLevelType w:val="hybridMultilevel"/>
    <w:tmpl w:val="B3148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FD56FD4"/>
    <w:multiLevelType w:val="hybridMultilevel"/>
    <w:tmpl w:val="E5708512"/>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28">
    <w:nsid w:val="7FF82080"/>
    <w:multiLevelType w:val="hybridMultilevel"/>
    <w:tmpl w:val="04FC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2"/>
  </w:num>
  <w:num w:numId="5">
    <w:abstractNumId w:val="15"/>
  </w:num>
  <w:num w:numId="6">
    <w:abstractNumId w:val="12"/>
  </w:num>
  <w:num w:numId="7">
    <w:abstractNumId w:val="24"/>
  </w:num>
  <w:num w:numId="8">
    <w:abstractNumId w:val="19"/>
  </w:num>
  <w:num w:numId="9">
    <w:abstractNumId w:val="5"/>
  </w:num>
  <w:num w:numId="10">
    <w:abstractNumId w:val="23"/>
  </w:num>
  <w:num w:numId="11">
    <w:abstractNumId w:val="27"/>
  </w:num>
  <w:num w:numId="12">
    <w:abstractNumId w:val="14"/>
  </w:num>
  <w:num w:numId="13">
    <w:abstractNumId w:val="6"/>
  </w:num>
  <w:num w:numId="14">
    <w:abstractNumId w:val="20"/>
  </w:num>
  <w:num w:numId="15">
    <w:abstractNumId w:val="16"/>
  </w:num>
  <w:num w:numId="16">
    <w:abstractNumId w:val="7"/>
  </w:num>
  <w:num w:numId="17">
    <w:abstractNumId w:val="4"/>
  </w:num>
  <w:num w:numId="18">
    <w:abstractNumId w:val="25"/>
  </w:num>
  <w:num w:numId="19">
    <w:abstractNumId w:val="17"/>
  </w:num>
  <w:num w:numId="20">
    <w:abstractNumId w:val="8"/>
  </w:num>
  <w:num w:numId="21">
    <w:abstractNumId w:val="26"/>
  </w:num>
  <w:num w:numId="22">
    <w:abstractNumId w:val="22"/>
  </w:num>
  <w:num w:numId="23">
    <w:abstractNumId w:val="22"/>
  </w:num>
  <w:num w:numId="24">
    <w:abstractNumId w:val="18"/>
  </w:num>
  <w:num w:numId="25">
    <w:abstractNumId w:val="9"/>
  </w:num>
  <w:num w:numId="26">
    <w:abstractNumId w:val="11"/>
  </w:num>
  <w:num w:numId="27">
    <w:abstractNumId w:val="28"/>
  </w:num>
  <w:num w:numId="28">
    <w:abstractNumId w:val="10"/>
  </w:num>
  <w:num w:numId="29">
    <w:abstractNumId w:val="13"/>
  </w:num>
  <w:num w:numId="30">
    <w:abstractNumId w:val="2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453C99"/>
    <w:rsid w:val="00024687"/>
    <w:rsid w:val="00057BC4"/>
    <w:rsid w:val="00067445"/>
    <w:rsid w:val="00090E4D"/>
    <w:rsid w:val="000A584E"/>
    <w:rsid w:val="000A6FE9"/>
    <w:rsid w:val="000B3235"/>
    <w:rsid w:val="000C3469"/>
    <w:rsid w:val="000E2D52"/>
    <w:rsid w:val="000F0A87"/>
    <w:rsid w:val="000F3AAB"/>
    <w:rsid w:val="0010105E"/>
    <w:rsid w:val="0011437D"/>
    <w:rsid w:val="00121C02"/>
    <w:rsid w:val="00123467"/>
    <w:rsid w:val="001327DA"/>
    <w:rsid w:val="00135EEF"/>
    <w:rsid w:val="001507EF"/>
    <w:rsid w:val="00157587"/>
    <w:rsid w:val="0016058D"/>
    <w:rsid w:val="00165B6A"/>
    <w:rsid w:val="00165CC8"/>
    <w:rsid w:val="00166E8C"/>
    <w:rsid w:val="00170590"/>
    <w:rsid w:val="00190BCC"/>
    <w:rsid w:val="001A4E43"/>
    <w:rsid w:val="001B0DB1"/>
    <w:rsid w:val="001B67F1"/>
    <w:rsid w:val="001B6E1B"/>
    <w:rsid w:val="001C3848"/>
    <w:rsid w:val="001D4F73"/>
    <w:rsid w:val="001D5821"/>
    <w:rsid w:val="001E1677"/>
    <w:rsid w:val="001E74C4"/>
    <w:rsid w:val="00214699"/>
    <w:rsid w:val="0022126D"/>
    <w:rsid w:val="00233B02"/>
    <w:rsid w:val="0023538F"/>
    <w:rsid w:val="00236DD7"/>
    <w:rsid w:val="00240303"/>
    <w:rsid w:val="00260013"/>
    <w:rsid w:val="00260B29"/>
    <w:rsid w:val="00262BCC"/>
    <w:rsid w:val="00267548"/>
    <w:rsid w:val="00275C8B"/>
    <w:rsid w:val="00285C25"/>
    <w:rsid w:val="00294D9D"/>
    <w:rsid w:val="002B2A44"/>
    <w:rsid w:val="002C5196"/>
    <w:rsid w:val="002D0874"/>
    <w:rsid w:val="002E0592"/>
    <w:rsid w:val="0030259B"/>
    <w:rsid w:val="00304205"/>
    <w:rsid w:val="00320165"/>
    <w:rsid w:val="00327013"/>
    <w:rsid w:val="003710B7"/>
    <w:rsid w:val="00372DED"/>
    <w:rsid w:val="00376278"/>
    <w:rsid w:val="0038766A"/>
    <w:rsid w:val="0039774C"/>
    <w:rsid w:val="003A232C"/>
    <w:rsid w:val="003B0239"/>
    <w:rsid w:val="003B445A"/>
    <w:rsid w:val="003C2430"/>
    <w:rsid w:val="003C2639"/>
    <w:rsid w:val="003C659D"/>
    <w:rsid w:val="003D204A"/>
    <w:rsid w:val="003D224A"/>
    <w:rsid w:val="003E1CA5"/>
    <w:rsid w:val="003E6E55"/>
    <w:rsid w:val="003F58D1"/>
    <w:rsid w:val="003F5DEC"/>
    <w:rsid w:val="00407968"/>
    <w:rsid w:val="0041283C"/>
    <w:rsid w:val="00412994"/>
    <w:rsid w:val="00424520"/>
    <w:rsid w:val="00433827"/>
    <w:rsid w:val="00445856"/>
    <w:rsid w:val="004472EA"/>
    <w:rsid w:val="00453C99"/>
    <w:rsid w:val="0048307C"/>
    <w:rsid w:val="0048518D"/>
    <w:rsid w:val="00492480"/>
    <w:rsid w:val="004A430A"/>
    <w:rsid w:val="004D36E7"/>
    <w:rsid w:val="004F3AD7"/>
    <w:rsid w:val="004F5320"/>
    <w:rsid w:val="005003A6"/>
    <w:rsid w:val="0050156B"/>
    <w:rsid w:val="0050374C"/>
    <w:rsid w:val="00506A5F"/>
    <w:rsid w:val="0051271E"/>
    <w:rsid w:val="00512E7C"/>
    <w:rsid w:val="005165BC"/>
    <w:rsid w:val="00516801"/>
    <w:rsid w:val="005375B5"/>
    <w:rsid w:val="005407FA"/>
    <w:rsid w:val="00541CB6"/>
    <w:rsid w:val="00543E8F"/>
    <w:rsid w:val="0054577C"/>
    <w:rsid w:val="00552F21"/>
    <w:rsid w:val="00572254"/>
    <w:rsid w:val="005971EA"/>
    <w:rsid w:val="005A02FA"/>
    <w:rsid w:val="005B2ECB"/>
    <w:rsid w:val="005C373F"/>
    <w:rsid w:val="005E0B2A"/>
    <w:rsid w:val="005F4786"/>
    <w:rsid w:val="0060113D"/>
    <w:rsid w:val="00606F63"/>
    <w:rsid w:val="00607408"/>
    <w:rsid w:val="00613A37"/>
    <w:rsid w:val="006253A6"/>
    <w:rsid w:val="00627EA9"/>
    <w:rsid w:val="00644550"/>
    <w:rsid w:val="00645A73"/>
    <w:rsid w:val="00651E7E"/>
    <w:rsid w:val="00653AE8"/>
    <w:rsid w:val="006649FE"/>
    <w:rsid w:val="00676A15"/>
    <w:rsid w:val="006848B2"/>
    <w:rsid w:val="00684A8D"/>
    <w:rsid w:val="0069125C"/>
    <w:rsid w:val="00694451"/>
    <w:rsid w:val="006A0954"/>
    <w:rsid w:val="006A09A2"/>
    <w:rsid w:val="006A5455"/>
    <w:rsid w:val="006B0865"/>
    <w:rsid w:val="006C2578"/>
    <w:rsid w:val="006C7EC2"/>
    <w:rsid w:val="006D2C3E"/>
    <w:rsid w:val="006D33CA"/>
    <w:rsid w:val="006E14E3"/>
    <w:rsid w:val="0070122A"/>
    <w:rsid w:val="00702E80"/>
    <w:rsid w:val="007401DE"/>
    <w:rsid w:val="00746E8C"/>
    <w:rsid w:val="00763729"/>
    <w:rsid w:val="0076391B"/>
    <w:rsid w:val="00766B07"/>
    <w:rsid w:val="00780F21"/>
    <w:rsid w:val="00782967"/>
    <w:rsid w:val="00791D2D"/>
    <w:rsid w:val="007A53B4"/>
    <w:rsid w:val="007A62D4"/>
    <w:rsid w:val="007A7CAB"/>
    <w:rsid w:val="007B59B0"/>
    <w:rsid w:val="007B5B44"/>
    <w:rsid w:val="007D3AF2"/>
    <w:rsid w:val="007D59BD"/>
    <w:rsid w:val="007E4313"/>
    <w:rsid w:val="007E4A36"/>
    <w:rsid w:val="008001EE"/>
    <w:rsid w:val="008235AE"/>
    <w:rsid w:val="00824A11"/>
    <w:rsid w:val="00832150"/>
    <w:rsid w:val="00853CEE"/>
    <w:rsid w:val="00854193"/>
    <w:rsid w:val="00875D52"/>
    <w:rsid w:val="008946A6"/>
    <w:rsid w:val="008A2910"/>
    <w:rsid w:val="008A5C70"/>
    <w:rsid w:val="008B0A96"/>
    <w:rsid w:val="008C3811"/>
    <w:rsid w:val="008C77FB"/>
    <w:rsid w:val="008D482C"/>
    <w:rsid w:val="00922457"/>
    <w:rsid w:val="00925311"/>
    <w:rsid w:val="00940D78"/>
    <w:rsid w:val="00965486"/>
    <w:rsid w:val="009844A2"/>
    <w:rsid w:val="009933B6"/>
    <w:rsid w:val="009A725A"/>
    <w:rsid w:val="009B62A4"/>
    <w:rsid w:val="009B7C3E"/>
    <w:rsid w:val="009C23F6"/>
    <w:rsid w:val="009C3B64"/>
    <w:rsid w:val="009C507A"/>
    <w:rsid w:val="009C7A2D"/>
    <w:rsid w:val="009D4C43"/>
    <w:rsid w:val="009E4ECD"/>
    <w:rsid w:val="00A00D93"/>
    <w:rsid w:val="00A01D30"/>
    <w:rsid w:val="00A0205E"/>
    <w:rsid w:val="00A05D93"/>
    <w:rsid w:val="00A11F23"/>
    <w:rsid w:val="00A14BED"/>
    <w:rsid w:val="00A17623"/>
    <w:rsid w:val="00A2507F"/>
    <w:rsid w:val="00A32F87"/>
    <w:rsid w:val="00A3478A"/>
    <w:rsid w:val="00A46C39"/>
    <w:rsid w:val="00A50497"/>
    <w:rsid w:val="00A51F0D"/>
    <w:rsid w:val="00A520EC"/>
    <w:rsid w:val="00A522EC"/>
    <w:rsid w:val="00A564D9"/>
    <w:rsid w:val="00A60BCC"/>
    <w:rsid w:val="00A63BCD"/>
    <w:rsid w:val="00A72A96"/>
    <w:rsid w:val="00A74DF5"/>
    <w:rsid w:val="00A7726B"/>
    <w:rsid w:val="00A826E1"/>
    <w:rsid w:val="00AA2C4A"/>
    <w:rsid w:val="00AB6506"/>
    <w:rsid w:val="00AE60FF"/>
    <w:rsid w:val="00AE6AC2"/>
    <w:rsid w:val="00AF2191"/>
    <w:rsid w:val="00AF4D79"/>
    <w:rsid w:val="00B00753"/>
    <w:rsid w:val="00B3496E"/>
    <w:rsid w:val="00B65FBD"/>
    <w:rsid w:val="00B80691"/>
    <w:rsid w:val="00B86BDB"/>
    <w:rsid w:val="00B90AA2"/>
    <w:rsid w:val="00B94CCD"/>
    <w:rsid w:val="00BB24D8"/>
    <w:rsid w:val="00BE3164"/>
    <w:rsid w:val="00BE714F"/>
    <w:rsid w:val="00C20425"/>
    <w:rsid w:val="00C2396E"/>
    <w:rsid w:val="00C5151C"/>
    <w:rsid w:val="00C5523D"/>
    <w:rsid w:val="00C751A4"/>
    <w:rsid w:val="00C8345A"/>
    <w:rsid w:val="00C84E9E"/>
    <w:rsid w:val="00C86F5F"/>
    <w:rsid w:val="00CA5084"/>
    <w:rsid w:val="00CB15EA"/>
    <w:rsid w:val="00CB2D70"/>
    <w:rsid w:val="00CC77BE"/>
    <w:rsid w:val="00CE083E"/>
    <w:rsid w:val="00CE0F19"/>
    <w:rsid w:val="00CE21B9"/>
    <w:rsid w:val="00D01696"/>
    <w:rsid w:val="00D14FC7"/>
    <w:rsid w:val="00D162E7"/>
    <w:rsid w:val="00D165AE"/>
    <w:rsid w:val="00D34A7A"/>
    <w:rsid w:val="00D36313"/>
    <w:rsid w:val="00D7118B"/>
    <w:rsid w:val="00D827B5"/>
    <w:rsid w:val="00D82C58"/>
    <w:rsid w:val="00D82F44"/>
    <w:rsid w:val="00D83D60"/>
    <w:rsid w:val="00D84D1C"/>
    <w:rsid w:val="00D90B1D"/>
    <w:rsid w:val="00D96765"/>
    <w:rsid w:val="00DD3C6E"/>
    <w:rsid w:val="00DD57AC"/>
    <w:rsid w:val="00E006CB"/>
    <w:rsid w:val="00E1114E"/>
    <w:rsid w:val="00E14EF1"/>
    <w:rsid w:val="00E31081"/>
    <w:rsid w:val="00E34C11"/>
    <w:rsid w:val="00E35112"/>
    <w:rsid w:val="00E373FD"/>
    <w:rsid w:val="00E44622"/>
    <w:rsid w:val="00E45691"/>
    <w:rsid w:val="00E46662"/>
    <w:rsid w:val="00E4722F"/>
    <w:rsid w:val="00E5223E"/>
    <w:rsid w:val="00E52CC0"/>
    <w:rsid w:val="00E7068F"/>
    <w:rsid w:val="00E91149"/>
    <w:rsid w:val="00EA5316"/>
    <w:rsid w:val="00EB3427"/>
    <w:rsid w:val="00EB6286"/>
    <w:rsid w:val="00EC3FAF"/>
    <w:rsid w:val="00ED21D2"/>
    <w:rsid w:val="00ED68D9"/>
    <w:rsid w:val="00EE6505"/>
    <w:rsid w:val="00EE76C6"/>
    <w:rsid w:val="00EE7DC8"/>
    <w:rsid w:val="00F01EAC"/>
    <w:rsid w:val="00F04714"/>
    <w:rsid w:val="00F15DD9"/>
    <w:rsid w:val="00F35A96"/>
    <w:rsid w:val="00F42C10"/>
    <w:rsid w:val="00F431B0"/>
    <w:rsid w:val="00F46B99"/>
    <w:rsid w:val="00F571BF"/>
    <w:rsid w:val="00F74B32"/>
    <w:rsid w:val="00F768FB"/>
    <w:rsid w:val="00F85D3C"/>
    <w:rsid w:val="00F90519"/>
    <w:rsid w:val="00F932FE"/>
    <w:rsid w:val="00F94056"/>
    <w:rsid w:val="00FA3856"/>
    <w:rsid w:val="00FA5DF1"/>
    <w:rsid w:val="00FB3254"/>
    <w:rsid w:val="00FD14E1"/>
    <w:rsid w:val="00FF42FD"/>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33B6"/>
    <w:pPr>
      <w:spacing w:line="300" w:lineRule="auto"/>
    </w:pPr>
    <w:rPr>
      <w:rFonts w:ascii="Arial" w:hAnsi="Arial"/>
      <w:sz w:val="24"/>
      <w:lang w:eastAsia="en-US"/>
    </w:rPr>
  </w:style>
  <w:style w:type="paragraph" w:styleId="Ttulo1">
    <w:name w:val="heading 1"/>
    <w:basedOn w:val="Normal"/>
    <w:next w:val="Normal"/>
    <w:link w:val="Ttulo1Char"/>
    <w:uiPriority w:val="9"/>
    <w:qFormat/>
    <w:rsid w:val="00A0205E"/>
    <w:pPr>
      <w:keepNext/>
      <w:numPr>
        <w:numId w:val="24"/>
      </w:numPr>
      <w:suppressAutoHyphens/>
      <w:spacing w:before="240" w:after="120"/>
      <w:ind w:left="340" w:hanging="340"/>
      <w:outlineLvl w:val="0"/>
    </w:pPr>
    <w:rPr>
      <w:b/>
      <w:caps/>
      <w:lang w:val="en-US" w:eastAsia="zh-CN"/>
    </w:rPr>
  </w:style>
  <w:style w:type="paragraph" w:styleId="Ttulo2">
    <w:name w:val="heading 2"/>
    <w:basedOn w:val="Normal"/>
    <w:next w:val="Normal"/>
    <w:link w:val="Ttulo2Char"/>
    <w:qFormat/>
    <w:rsid w:val="00492480"/>
    <w:pPr>
      <w:keepNext/>
      <w:suppressAutoHyphens/>
      <w:spacing w:before="240" w:after="120"/>
      <w:jc w:val="both"/>
      <w:outlineLvl w:val="1"/>
    </w:pPr>
    <w:rPr>
      <w:rFonts w:eastAsia="Times New Roman"/>
      <w:b/>
      <w:lang w:val="en-GB"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1E7E"/>
    <w:pPr>
      <w:tabs>
        <w:tab w:val="center" w:pos="4320"/>
        <w:tab w:val="right" w:pos="8640"/>
      </w:tabs>
    </w:pPr>
  </w:style>
  <w:style w:type="paragraph" w:styleId="Rodap">
    <w:name w:val="footer"/>
    <w:basedOn w:val="Normal"/>
    <w:rsid w:val="00651E7E"/>
    <w:pPr>
      <w:tabs>
        <w:tab w:val="center" w:pos="4320"/>
        <w:tab w:val="right" w:pos="8640"/>
      </w:tabs>
    </w:pPr>
  </w:style>
  <w:style w:type="character" w:customStyle="1" w:styleId="WW-Absatz-Standardschriftart1">
    <w:name w:val="WW-Absatz-Standardschriftart1"/>
    <w:rsid w:val="00651E7E"/>
  </w:style>
  <w:style w:type="paragraph" w:styleId="Corpodetexto">
    <w:name w:val="Body Text"/>
    <w:basedOn w:val="Normal"/>
    <w:rsid w:val="00651E7E"/>
    <w:rPr>
      <w:sz w:val="20"/>
    </w:rPr>
  </w:style>
  <w:style w:type="character" w:styleId="Hyperlink">
    <w:name w:val="Hyperlink"/>
    <w:uiPriority w:val="99"/>
    <w:unhideWhenUsed/>
    <w:rsid w:val="001B0DB1"/>
    <w:rPr>
      <w:color w:val="0563C1"/>
      <w:u w:val="single"/>
    </w:rPr>
  </w:style>
  <w:style w:type="paragraph" w:styleId="PargrafodaLista">
    <w:name w:val="List Paragraph"/>
    <w:basedOn w:val="Normal"/>
    <w:uiPriority w:val="34"/>
    <w:qFormat/>
    <w:rsid w:val="00492480"/>
    <w:pPr>
      <w:spacing w:after="160" w:line="259" w:lineRule="auto"/>
      <w:ind w:left="720"/>
      <w:contextualSpacing/>
    </w:pPr>
    <w:rPr>
      <w:rFonts w:eastAsia="Calibri" w:cs="Arial"/>
      <w:szCs w:val="22"/>
      <w:lang w:val="en-GB"/>
    </w:rPr>
  </w:style>
  <w:style w:type="character" w:customStyle="1" w:styleId="Ttulo1Char">
    <w:name w:val="Título 1 Char"/>
    <w:basedOn w:val="Fontepargpadro"/>
    <w:link w:val="Ttulo1"/>
    <w:uiPriority w:val="9"/>
    <w:rsid w:val="00A0205E"/>
    <w:rPr>
      <w:rFonts w:ascii="Arial" w:hAnsi="Arial"/>
      <w:b/>
      <w:caps/>
      <w:sz w:val="24"/>
      <w:lang w:val="en-US" w:eastAsia="zh-CN"/>
    </w:rPr>
  </w:style>
  <w:style w:type="character" w:customStyle="1" w:styleId="Ttulo2Char">
    <w:name w:val="Título 2 Char"/>
    <w:basedOn w:val="Fontepargpadro"/>
    <w:link w:val="Ttulo2"/>
    <w:rsid w:val="00492480"/>
    <w:rPr>
      <w:rFonts w:ascii="Arial" w:eastAsia="Times New Roman" w:hAnsi="Arial"/>
      <w:b/>
      <w:sz w:val="24"/>
      <w:lang w:val="en-GB" w:eastAsia="zh-CN"/>
    </w:rPr>
  </w:style>
  <w:style w:type="character" w:customStyle="1" w:styleId="apple-style-span">
    <w:name w:val="apple-style-span"/>
    <w:rsid w:val="0011437D"/>
    <w:rPr>
      <w:rFonts w:cs="Times New Roman"/>
    </w:rPr>
  </w:style>
  <w:style w:type="character" w:customStyle="1" w:styleId="shorttext">
    <w:name w:val="short_text"/>
    <w:rsid w:val="0011437D"/>
    <w:rPr>
      <w:rFonts w:cs="Times New Roman"/>
    </w:rPr>
  </w:style>
  <w:style w:type="character" w:customStyle="1" w:styleId="hps">
    <w:name w:val="hps"/>
    <w:uiPriority w:val="99"/>
    <w:rsid w:val="0011437D"/>
    <w:rPr>
      <w:rFonts w:cs="Times New Roman"/>
    </w:rPr>
  </w:style>
  <w:style w:type="paragraph" w:customStyle="1" w:styleId="Titleofthepaper">
    <w:name w:val="Title of the paper"/>
    <w:rsid w:val="0011437D"/>
    <w:pPr>
      <w:suppressAutoHyphens/>
      <w:jc w:val="center"/>
    </w:pPr>
    <w:rPr>
      <w:rFonts w:ascii="Arial" w:hAnsi="Arial" w:cs="Arial"/>
      <w:b/>
      <w:sz w:val="28"/>
      <w:lang w:val="en-US" w:eastAsia="zh-CN"/>
    </w:rPr>
  </w:style>
  <w:style w:type="paragraph" w:customStyle="1" w:styleId="Authorname">
    <w:name w:val="Author name"/>
    <w:rsid w:val="0011437D"/>
    <w:pPr>
      <w:suppressAutoHyphens/>
      <w:spacing w:before="240"/>
      <w:jc w:val="center"/>
    </w:pPr>
    <w:rPr>
      <w:b/>
      <w:sz w:val="24"/>
      <w:lang w:val="en-US" w:eastAsia="zh-CN"/>
    </w:rPr>
  </w:style>
  <w:style w:type="paragraph" w:customStyle="1" w:styleId="AuthorAffilliation">
    <w:name w:val="Author Affilliation"/>
    <w:uiPriority w:val="99"/>
    <w:rsid w:val="0011437D"/>
    <w:pPr>
      <w:suppressAutoHyphens/>
      <w:jc w:val="center"/>
    </w:pPr>
    <w:rPr>
      <w:sz w:val="24"/>
      <w:lang w:val="en-US" w:eastAsia="zh-CN"/>
    </w:rPr>
  </w:style>
  <w:style w:type="paragraph" w:customStyle="1" w:styleId="HeaderAbs">
    <w:name w:val="Header (Abs."/>
    <w:basedOn w:val="Ttulo1"/>
    <w:rsid w:val="0011437D"/>
    <w:pPr>
      <w:numPr>
        <w:numId w:val="0"/>
      </w:numPr>
      <w:outlineLvl w:val="9"/>
    </w:pPr>
  </w:style>
  <w:style w:type="paragraph" w:customStyle="1" w:styleId="Equation">
    <w:name w:val="Equation"/>
    <w:basedOn w:val="Normal"/>
    <w:next w:val="Normal"/>
    <w:rsid w:val="0011437D"/>
    <w:pPr>
      <w:suppressAutoHyphens/>
      <w:spacing w:before="120" w:after="120" w:line="260" w:lineRule="atLeast"/>
      <w:jc w:val="both"/>
    </w:pPr>
    <w:rPr>
      <w:rFonts w:ascii="Times New Roman" w:eastAsia="Times New Roman" w:hAnsi="Times New Roman"/>
      <w:sz w:val="22"/>
      <w:lang w:val="en-GB" w:eastAsia="zh-CN"/>
    </w:rPr>
  </w:style>
  <w:style w:type="paragraph" w:customStyle="1" w:styleId="TableCaption">
    <w:name w:val="Table_Caption"/>
    <w:basedOn w:val="Normal"/>
    <w:rsid w:val="0011437D"/>
    <w:pPr>
      <w:keepNext/>
      <w:suppressAutoHyphens/>
      <w:spacing w:before="240" w:after="120"/>
      <w:jc w:val="center"/>
    </w:pPr>
    <w:rPr>
      <w:rFonts w:ascii="Times New Roman" w:eastAsia="Times New Roman" w:hAnsi="Times New Roman"/>
      <w:sz w:val="20"/>
      <w:szCs w:val="24"/>
      <w:lang w:val="en-GB" w:eastAsia="zh-CN"/>
    </w:rPr>
  </w:style>
  <w:style w:type="paragraph" w:customStyle="1" w:styleId="FigurecaptionDRCN">
    <w:name w:val="Figure caption DRCN"/>
    <w:basedOn w:val="Normal"/>
    <w:next w:val="Normal"/>
    <w:rsid w:val="0011437D"/>
    <w:pPr>
      <w:suppressAutoHyphens/>
      <w:spacing w:after="240"/>
      <w:jc w:val="center"/>
    </w:pPr>
    <w:rPr>
      <w:rFonts w:ascii="Times New Roman" w:eastAsia="Times New Roman" w:hAnsi="Times New Roman"/>
      <w:sz w:val="16"/>
      <w:szCs w:val="24"/>
      <w:lang w:val="en-CA" w:eastAsia="zh-CN"/>
    </w:rPr>
  </w:style>
  <w:style w:type="paragraph" w:customStyle="1" w:styleId="Text">
    <w:name w:val="Text"/>
    <w:basedOn w:val="Normal"/>
    <w:rsid w:val="0011437D"/>
    <w:pPr>
      <w:widowControl w:val="0"/>
      <w:suppressAutoHyphens/>
      <w:autoSpaceDE w:val="0"/>
      <w:spacing w:line="252" w:lineRule="auto"/>
      <w:ind w:firstLine="202"/>
      <w:jc w:val="both"/>
    </w:pPr>
    <w:rPr>
      <w:rFonts w:ascii="Times New Roman" w:eastAsia="Times New Roman" w:hAnsi="Times New Roman" w:cs="Angsana New"/>
      <w:sz w:val="20"/>
      <w:lang w:val="en-US" w:eastAsia="zh-CN"/>
    </w:rPr>
  </w:style>
  <w:style w:type="paragraph" w:styleId="NormalWeb">
    <w:name w:val="Normal (Web)"/>
    <w:basedOn w:val="Normal"/>
    <w:rsid w:val="0011437D"/>
    <w:pPr>
      <w:suppressAutoHyphens/>
      <w:spacing w:before="280" w:after="280"/>
    </w:pPr>
    <w:rPr>
      <w:rFonts w:ascii="Times New Roman" w:eastAsia="Times New Roman" w:hAnsi="Times New Roman" w:cs="Angsana New"/>
      <w:szCs w:val="24"/>
      <w:lang w:val="en-US" w:eastAsia="zh-CN"/>
    </w:rPr>
  </w:style>
  <w:style w:type="paragraph" w:customStyle="1" w:styleId="FigureCaption">
    <w:name w:val="Figure Caption"/>
    <w:basedOn w:val="Normal"/>
    <w:rsid w:val="0011437D"/>
    <w:pPr>
      <w:suppressAutoHyphens/>
      <w:autoSpaceDE w:val="0"/>
      <w:jc w:val="both"/>
    </w:pPr>
    <w:rPr>
      <w:rFonts w:ascii="Times New Roman" w:eastAsia="Times New Roman" w:hAnsi="Times New Roman"/>
      <w:sz w:val="16"/>
      <w:szCs w:val="16"/>
      <w:lang w:val="en-US" w:eastAsia="zh-CN"/>
    </w:rPr>
  </w:style>
  <w:style w:type="paragraph" w:customStyle="1" w:styleId="AbstractDRCN">
    <w:name w:val="Abstract DRCN"/>
    <w:basedOn w:val="Normal"/>
    <w:rsid w:val="006C7EC2"/>
    <w:pPr>
      <w:ind w:firstLine="181"/>
      <w:jc w:val="both"/>
    </w:pPr>
    <w:rPr>
      <w:rFonts w:ascii="Times New Roman" w:eastAsia="Times New Roman" w:hAnsi="Times New Roman"/>
      <w:b/>
      <w:bCs/>
      <w:sz w:val="18"/>
      <w:szCs w:val="24"/>
      <w:lang w:val="en-CA" w:eastAsia="ar-SA"/>
    </w:rPr>
  </w:style>
  <w:style w:type="character" w:customStyle="1" w:styleId="hpsatn">
    <w:name w:val="hps atn"/>
    <w:basedOn w:val="Fontepargpadro"/>
    <w:rsid w:val="006C7EC2"/>
  </w:style>
  <w:style w:type="paragraph" w:styleId="Textodebalo">
    <w:name w:val="Balloon Text"/>
    <w:basedOn w:val="Normal"/>
    <w:link w:val="TextodebaloChar"/>
    <w:uiPriority w:val="99"/>
    <w:semiHidden/>
    <w:unhideWhenUsed/>
    <w:rsid w:val="00A5049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50497"/>
    <w:rPr>
      <w:rFonts w:ascii="Lucida Grande" w:hAnsi="Lucida Grande" w:cs="Lucida Grande"/>
      <w:sz w:val="18"/>
      <w:szCs w:val="18"/>
      <w:lang w:eastAsia="en-US"/>
    </w:rPr>
  </w:style>
  <w:style w:type="paragraph" w:customStyle="1" w:styleId="para">
    <w:name w:val="para"/>
    <w:basedOn w:val="Normal"/>
    <w:link w:val="paraChar"/>
    <w:qFormat/>
    <w:rsid w:val="00C2396E"/>
    <w:pPr>
      <w:spacing w:before="180" w:after="80"/>
      <w:jc w:val="both"/>
    </w:pPr>
    <w:rPr>
      <w:rFonts w:eastAsiaTheme="minorHAnsi" w:cstheme="minorBidi"/>
      <w:szCs w:val="22"/>
    </w:rPr>
  </w:style>
  <w:style w:type="character" w:customStyle="1" w:styleId="paraChar">
    <w:name w:val="para Char"/>
    <w:basedOn w:val="Fontepargpadro"/>
    <w:link w:val="para"/>
    <w:rsid w:val="00C2396E"/>
    <w:rPr>
      <w:rFonts w:ascii="Arial" w:eastAsiaTheme="minorHAnsi" w:hAnsi="Arial" w:cstheme="minorBidi"/>
      <w:sz w:val="24"/>
      <w:szCs w:val="22"/>
      <w:lang w:eastAsia="en-US"/>
    </w:rPr>
  </w:style>
  <w:style w:type="paragraph" w:styleId="Textodenotaderodap">
    <w:name w:val="footnote text"/>
    <w:aliases w:val="Texto de rodapé"/>
    <w:basedOn w:val="Normal"/>
    <w:link w:val="TextodenotaderodapChar"/>
    <w:uiPriority w:val="99"/>
    <w:unhideWhenUsed/>
    <w:qFormat/>
    <w:rsid w:val="00676A15"/>
    <w:rPr>
      <w:rFonts w:asciiTheme="minorHAnsi" w:eastAsiaTheme="minorHAnsi" w:hAnsiTheme="minorHAnsi" w:cstheme="minorBidi"/>
      <w:sz w:val="20"/>
    </w:rPr>
  </w:style>
  <w:style w:type="character" w:customStyle="1" w:styleId="TextodenotaderodapChar">
    <w:name w:val="Texto de nota de rodapé Char"/>
    <w:aliases w:val="Texto de rodapé Char"/>
    <w:basedOn w:val="Fontepargpadro"/>
    <w:link w:val="Textodenotaderodap"/>
    <w:uiPriority w:val="99"/>
    <w:rsid w:val="00676A15"/>
    <w:rPr>
      <w:rFonts w:asciiTheme="minorHAnsi" w:eastAsiaTheme="minorHAnsi" w:hAnsiTheme="minorHAnsi" w:cstheme="minorBidi"/>
      <w:lang w:eastAsia="en-US"/>
    </w:rPr>
  </w:style>
  <w:style w:type="character" w:styleId="Refdenotaderodap">
    <w:name w:val="footnote reference"/>
    <w:aliases w:val="(Ref. de nota al pie),Referência de rodapé"/>
    <w:basedOn w:val="Fontepargpadro"/>
    <w:uiPriority w:val="99"/>
    <w:unhideWhenUsed/>
    <w:rsid w:val="00676A15"/>
    <w:rPr>
      <w:vertAlign w:val="superscript"/>
    </w:rPr>
  </w:style>
  <w:style w:type="table" w:styleId="Tabelacomgrade">
    <w:name w:val="Table Grid"/>
    <w:basedOn w:val="Tabelanormal"/>
    <w:uiPriority w:val="59"/>
    <w:rsid w:val="00676A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76A15"/>
    <w:rPr>
      <w:rFonts w:asciiTheme="minorHAnsi" w:eastAsiaTheme="minorHAnsi" w:hAnsiTheme="minorHAnsi" w:cstheme="minorBidi"/>
      <w:sz w:val="22"/>
      <w:szCs w:val="22"/>
      <w:lang w:eastAsia="en-US"/>
    </w:rPr>
  </w:style>
  <w:style w:type="paragraph" w:styleId="Legenda">
    <w:name w:val="caption"/>
    <w:basedOn w:val="Normal"/>
    <w:next w:val="Normal"/>
    <w:uiPriority w:val="35"/>
    <w:unhideWhenUsed/>
    <w:qFormat/>
    <w:rsid w:val="00A522EC"/>
    <w:pPr>
      <w:spacing w:after="200"/>
      <w:jc w:val="center"/>
    </w:pPr>
    <w:rPr>
      <w:rFonts w:eastAsiaTheme="minorHAnsi" w:cstheme="minorBidi"/>
      <w:bCs/>
      <w:sz w:val="22"/>
      <w:szCs w:val="18"/>
    </w:rPr>
  </w:style>
  <w:style w:type="paragraph" w:customStyle="1" w:styleId="P">
    <w:name w:val="P"/>
    <w:basedOn w:val="Normal"/>
    <w:uiPriority w:val="99"/>
    <w:rsid w:val="00ED68D9"/>
    <w:pPr>
      <w:overflowPunct w:val="0"/>
      <w:autoSpaceDE w:val="0"/>
      <w:autoSpaceDN w:val="0"/>
      <w:adjustRightInd w:val="0"/>
      <w:spacing w:before="120" w:after="120" w:line="280" w:lineRule="atLeast"/>
      <w:ind w:firstLine="454"/>
      <w:jc w:val="both"/>
      <w:textAlignment w:val="baseline"/>
    </w:pPr>
    <w:rPr>
      <w:rFonts w:eastAsia="Times New Roman"/>
      <w:sz w:val="19"/>
      <w:lang w:eastAsia="pt-BR"/>
    </w:rPr>
  </w:style>
  <w:style w:type="paragraph" w:styleId="Sumrio3">
    <w:name w:val="toc 3"/>
    <w:basedOn w:val="Normal"/>
    <w:next w:val="Normal"/>
    <w:autoRedefine/>
    <w:uiPriority w:val="39"/>
    <w:rsid w:val="00285C25"/>
    <w:pPr>
      <w:tabs>
        <w:tab w:val="left" w:pos="1200"/>
        <w:tab w:val="right" w:leader="underscore" w:pos="10365"/>
      </w:tabs>
      <w:spacing w:after="120" w:line="276" w:lineRule="auto"/>
      <w:ind w:left="480"/>
      <w:jc w:val="both"/>
    </w:pPr>
    <w:rPr>
      <w:rFonts w:eastAsia="Times New Roman"/>
      <w:noProof/>
      <w:sz w:val="20"/>
      <w:lang w:eastAsia="pt-BR"/>
    </w:rPr>
  </w:style>
  <w:style w:type="paragraph" w:styleId="Bibliografia">
    <w:name w:val="Bibliography"/>
    <w:basedOn w:val="Normal"/>
    <w:next w:val="Normal"/>
    <w:uiPriority w:val="70"/>
    <w:rsid w:val="008C3811"/>
  </w:style>
  <w:style w:type="character" w:styleId="RefernciaSutil">
    <w:name w:val="Subtle Reference"/>
    <w:basedOn w:val="Fontepargpadro"/>
    <w:uiPriority w:val="67"/>
    <w:qFormat/>
    <w:rsid w:val="008C3811"/>
    <w:rPr>
      <w:smallCaps/>
      <w:color w:val="ED7D31" w:themeColor="accent2"/>
      <w:u w:val="single"/>
    </w:rPr>
  </w:style>
  <w:style w:type="character" w:styleId="RefernciaIntensa">
    <w:name w:val="Intense Reference"/>
    <w:basedOn w:val="Fontepargpadro"/>
    <w:uiPriority w:val="68"/>
    <w:qFormat/>
    <w:rsid w:val="008C3811"/>
    <w:rPr>
      <w:b/>
      <w:bCs/>
      <w:smallCaps/>
      <w:color w:val="ED7D31" w:themeColor="accent2"/>
      <w:spacing w:val="5"/>
      <w:u w:val="single"/>
    </w:rPr>
  </w:style>
  <w:style w:type="paragraph" w:styleId="Citao">
    <w:name w:val="Quote"/>
    <w:basedOn w:val="Normal"/>
    <w:next w:val="Normal"/>
    <w:link w:val="CitaoChar"/>
    <w:uiPriority w:val="73"/>
    <w:qFormat/>
    <w:rsid w:val="008C3811"/>
    <w:rPr>
      <w:i/>
      <w:iCs/>
      <w:color w:val="000000" w:themeColor="text1"/>
    </w:rPr>
  </w:style>
  <w:style w:type="character" w:customStyle="1" w:styleId="CitaoChar">
    <w:name w:val="Citação Char"/>
    <w:basedOn w:val="Fontepargpadro"/>
    <w:link w:val="Citao"/>
    <w:uiPriority w:val="73"/>
    <w:rsid w:val="008C3811"/>
    <w:rPr>
      <w:i/>
      <w:iCs/>
      <w:color w:val="000000" w:themeColor="text1"/>
      <w:sz w:val="24"/>
      <w:lang w:eastAsia="en-US"/>
    </w:rPr>
  </w:style>
  <w:style w:type="table" w:styleId="SombreamentoClaro">
    <w:name w:val="Light Shading"/>
    <w:basedOn w:val="Tabelanormal"/>
    <w:uiPriority w:val="99"/>
    <w:rsid w:val="00A63BC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fim">
    <w:name w:val="endnote text"/>
    <w:basedOn w:val="Normal"/>
    <w:link w:val="TextodenotadefimChar"/>
    <w:uiPriority w:val="99"/>
    <w:semiHidden/>
    <w:unhideWhenUsed/>
    <w:rsid w:val="00445856"/>
    <w:pPr>
      <w:spacing w:line="240" w:lineRule="auto"/>
    </w:pPr>
    <w:rPr>
      <w:sz w:val="20"/>
    </w:rPr>
  </w:style>
  <w:style w:type="character" w:customStyle="1" w:styleId="TextodenotadefimChar">
    <w:name w:val="Texto de nota de fim Char"/>
    <w:basedOn w:val="Fontepargpadro"/>
    <w:link w:val="Textodenotadefim"/>
    <w:uiPriority w:val="99"/>
    <w:semiHidden/>
    <w:rsid w:val="00445856"/>
    <w:rPr>
      <w:rFonts w:ascii="Arial" w:hAnsi="Arial"/>
      <w:lang w:eastAsia="en-US"/>
    </w:rPr>
  </w:style>
  <w:style w:type="character" w:styleId="Refdenotadefim">
    <w:name w:val="endnote reference"/>
    <w:basedOn w:val="Fontepargpadro"/>
    <w:uiPriority w:val="99"/>
    <w:semiHidden/>
    <w:unhideWhenUsed/>
    <w:rsid w:val="004458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33B6"/>
    <w:pPr>
      <w:spacing w:line="300" w:lineRule="auto"/>
    </w:pPr>
    <w:rPr>
      <w:rFonts w:ascii="Arial" w:hAnsi="Arial"/>
      <w:sz w:val="24"/>
      <w:lang w:eastAsia="en-US"/>
    </w:rPr>
  </w:style>
  <w:style w:type="paragraph" w:styleId="Ttulo1">
    <w:name w:val="heading 1"/>
    <w:basedOn w:val="Normal"/>
    <w:next w:val="Normal"/>
    <w:link w:val="Ttulo1Char"/>
    <w:uiPriority w:val="9"/>
    <w:qFormat/>
    <w:rsid w:val="00A0205E"/>
    <w:pPr>
      <w:keepNext/>
      <w:numPr>
        <w:numId w:val="24"/>
      </w:numPr>
      <w:suppressAutoHyphens/>
      <w:spacing w:before="240" w:after="120"/>
      <w:ind w:left="340" w:hanging="340"/>
      <w:outlineLvl w:val="0"/>
    </w:pPr>
    <w:rPr>
      <w:b/>
      <w:caps/>
      <w:lang w:val="en-US" w:eastAsia="zh-CN"/>
    </w:rPr>
  </w:style>
  <w:style w:type="paragraph" w:styleId="Ttulo2">
    <w:name w:val="heading 2"/>
    <w:basedOn w:val="Normal"/>
    <w:next w:val="Normal"/>
    <w:link w:val="Ttulo2Char"/>
    <w:qFormat/>
    <w:rsid w:val="00492480"/>
    <w:pPr>
      <w:keepNext/>
      <w:suppressAutoHyphens/>
      <w:spacing w:before="240" w:after="120"/>
      <w:jc w:val="both"/>
      <w:outlineLvl w:val="1"/>
    </w:pPr>
    <w:rPr>
      <w:rFonts w:eastAsia="Times New Roman"/>
      <w:b/>
      <w:lang w:val="en-GB"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1E7E"/>
    <w:pPr>
      <w:tabs>
        <w:tab w:val="center" w:pos="4320"/>
        <w:tab w:val="right" w:pos="8640"/>
      </w:tabs>
    </w:pPr>
  </w:style>
  <w:style w:type="paragraph" w:styleId="Rodap">
    <w:name w:val="footer"/>
    <w:basedOn w:val="Normal"/>
    <w:rsid w:val="00651E7E"/>
    <w:pPr>
      <w:tabs>
        <w:tab w:val="center" w:pos="4320"/>
        <w:tab w:val="right" w:pos="8640"/>
      </w:tabs>
    </w:pPr>
  </w:style>
  <w:style w:type="character" w:customStyle="1" w:styleId="WW-Absatz-Standardschriftart1">
    <w:name w:val="WW-Absatz-Standardschriftart1"/>
    <w:rsid w:val="00651E7E"/>
  </w:style>
  <w:style w:type="paragraph" w:styleId="Corpodetexto">
    <w:name w:val="Body Text"/>
    <w:basedOn w:val="Normal"/>
    <w:rsid w:val="00651E7E"/>
    <w:rPr>
      <w:sz w:val="20"/>
    </w:rPr>
  </w:style>
  <w:style w:type="character" w:styleId="Hyperlink">
    <w:name w:val="Hyperlink"/>
    <w:uiPriority w:val="99"/>
    <w:unhideWhenUsed/>
    <w:rsid w:val="001B0DB1"/>
    <w:rPr>
      <w:color w:val="0563C1"/>
      <w:u w:val="single"/>
    </w:rPr>
  </w:style>
  <w:style w:type="paragraph" w:styleId="PargrafodaLista">
    <w:name w:val="List Paragraph"/>
    <w:basedOn w:val="Normal"/>
    <w:uiPriority w:val="34"/>
    <w:qFormat/>
    <w:rsid w:val="00492480"/>
    <w:pPr>
      <w:spacing w:after="160" w:line="259" w:lineRule="auto"/>
      <w:ind w:left="720"/>
      <w:contextualSpacing/>
    </w:pPr>
    <w:rPr>
      <w:rFonts w:eastAsia="Calibri" w:cs="Arial"/>
      <w:szCs w:val="22"/>
      <w:lang w:val="en-GB"/>
    </w:rPr>
  </w:style>
  <w:style w:type="character" w:customStyle="1" w:styleId="Ttulo1Char">
    <w:name w:val="Título 1 Char"/>
    <w:basedOn w:val="Fontepargpadro"/>
    <w:link w:val="Ttulo1"/>
    <w:uiPriority w:val="9"/>
    <w:rsid w:val="00A0205E"/>
    <w:rPr>
      <w:rFonts w:ascii="Arial" w:hAnsi="Arial"/>
      <w:b/>
      <w:caps/>
      <w:sz w:val="24"/>
      <w:lang w:val="en-US" w:eastAsia="zh-CN"/>
    </w:rPr>
  </w:style>
  <w:style w:type="character" w:customStyle="1" w:styleId="Ttulo2Char">
    <w:name w:val="Título 2 Char"/>
    <w:basedOn w:val="Fontepargpadro"/>
    <w:link w:val="Ttulo2"/>
    <w:rsid w:val="00492480"/>
    <w:rPr>
      <w:rFonts w:ascii="Arial" w:eastAsia="Times New Roman" w:hAnsi="Arial"/>
      <w:b/>
      <w:sz w:val="24"/>
      <w:lang w:val="en-GB" w:eastAsia="zh-CN"/>
    </w:rPr>
  </w:style>
  <w:style w:type="character" w:customStyle="1" w:styleId="apple-style-span">
    <w:name w:val="apple-style-span"/>
    <w:rsid w:val="0011437D"/>
    <w:rPr>
      <w:rFonts w:cs="Times New Roman"/>
    </w:rPr>
  </w:style>
  <w:style w:type="character" w:customStyle="1" w:styleId="shorttext">
    <w:name w:val="short_text"/>
    <w:rsid w:val="0011437D"/>
    <w:rPr>
      <w:rFonts w:cs="Times New Roman"/>
    </w:rPr>
  </w:style>
  <w:style w:type="character" w:customStyle="1" w:styleId="hps">
    <w:name w:val="hps"/>
    <w:uiPriority w:val="99"/>
    <w:rsid w:val="0011437D"/>
    <w:rPr>
      <w:rFonts w:cs="Times New Roman"/>
    </w:rPr>
  </w:style>
  <w:style w:type="paragraph" w:customStyle="1" w:styleId="Titleofthepaper">
    <w:name w:val="Title of the paper"/>
    <w:rsid w:val="0011437D"/>
    <w:pPr>
      <w:suppressAutoHyphens/>
      <w:jc w:val="center"/>
    </w:pPr>
    <w:rPr>
      <w:rFonts w:ascii="Arial" w:hAnsi="Arial" w:cs="Arial"/>
      <w:b/>
      <w:sz w:val="28"/>
      <w:lang w:val="en-US" w:eastAsia="zh-CN"/>
    </w:rPr>
  </w:style>
  <w:style w:type="paragraph" w:customStyle="1" w:styleId="Authorname">
    <w:name w:val="Author name"/>
    <w:rsid w:val="0011437D"/>
    <w:pPr>
      <w:suppressAutoHyphens/>
      <w:spacing w:before="240"/>
      <w:jc w:val="center"/>
    </w:pPr>
    <w:rPr>
      <w:b/>
      <w:sz w:val="24"/>
      <w:lang w:val="en-US" w:eastAsia="zh-CN"/>
    </w:rPr>
  </w:style>
  <w:style w:type="paragraph" w:customStyle="1" w:styleId="AuthorAffilliation">
    <w:name w:val="Author Affilliation"/>
    <w:uiPriority w:val="99"/>
    <w:rsid w:val="0011437D"/>
    <w:pPr>
      <w:suppressAutoHyphens/>
      <w:jc w:val="center"/>
    </w:pPr>
    <w:rPr>
      <w:sz w:val="24"/>
      <w:lang w:val="en-US" w:eastAsia="zh-CN"/>
    </w:rPr>
  </w:style>
  <w:style w:type="paragraph" w:customStyle="1" w:styleId="HeaderAbs">
    <w:name w:val="Header (Abs."/>
    <w:basedOn w:val="Ttulo1"/>
    <w:rsid w:val="0011437D"/>
    <w:pPr>
      <w:numPr>
        <w:numId w:val="0"/>
      </w:numPr>
      <w:outlineLvl w:val="9"/>
    </w:pPr>
  </w:style>
  <w:style w:type="paragraph" w:customStyle="1" w:styleId="Equation">
    <w:name w:val="Equation"/>
    <w:basedOn w:val="Normal"/>
    <w:next w:val="Normal"/>
    <w:rsid w:val="0011437D"/>
    <w:pPr>
      <w:suppressAutoHyphens/>
      <w:spacing w:before="120" w:after="120" w:line="260" w:lineRule="atLeast"/>
      <w:jc w:val="both"/>
    </w:pPr>
    <w:rPr>
      <w:rFonts w:ascii="Times New Roman" w:eastAsia="Times New Roman" w:hAnsi="Times New Roman"/>
      <w:sz w:val="22"/>
      <w:lang w:val="en-GB" w:eastAsia="zh-CN"/>
    </w:rPr>
  </w:style>
  <w:style w:type="paragraph" w:customStyle="1" w:styleId="TableCaption">
    <w:name w:val="Table_Caption"/>
    <w:basedOn w:val="Normal"/>
    <w:rsid w:val="0011437D"/>
    <w:pPr>
      <w:keepNext/>
      <w:suppressAutoHyphens/>
      <w:spacing w:before="240" w:after="120"/>
      <w:jc w:val="center"/>
    </w:pPr>
    <w:rPr>
      <w:rFonts w:ascii="Times New Roman" w:eastAsia="Times New Roman" w:hAnsi="Times New Roman"/>
      <w:sz w:val="20"/>
      <w:szCs w:val="24"/>
      <w:lang w:val="en-GB" w:eastAsia="zh-CN"/>
    </w:rPr>
  </w:style>
  <w:style w:type="paragraph" w:customStyle="1" w:styleId="FigurecaptionDRCN">
    <w:name w:val="Figure caption DRCN"/>
    <w:basedOn w:val="Normal"/>
    <w:next w:val="Normal"/>
    <w:rsid w:val="0011437D"/>
    <w:pPr>
      <w:suppressAutoHyphens/>
      <w:spacing w:after="240"/>
      <w:jc w:val="center"/>
    </w:pPr>
    <w:rPr>
      <w:rFonts w:ascii="Times New Roman" w:eastAsia="Times New Roman" w:hAnsi="Times New Roman"/>
      <w:sz w:val="16"/>
      <w:szCs w:val="24"/>
      <w:lang w:val="en-CA" w:eastAsia="zh-CN"/>
    </w:rPr>
  </w:style>
  <w:style w:type="paragraph" w:customStyle="1" w:styleId="Text">
    <w:name w:val="Text"/>
    <w:basedOn w:val="Normal"/>
    <w:rsid w:val="0011437D"/>
    <w:pPr>
      <w:widowControl w:val="0"/>
      <w:suppressAutoHyphens/>
      <w:autoSpaceDE w:val="0"/>
      <w:spacing w:line="252" w:lineRule="auto"/>
      <w:ind w:firstLine="202"/>
      <w:jc w:val="both"/>
    </w:pPr>
    <w:rPr>
      <w:rFonts w:ascii="Times New Roman" w:eastAsia="Times New Roman" w:hAnsi="Times New Roman" w:cs="Angsana New"/>
      <w:sz w:val="20"/>
      <w:lang w:val="en-US" w:eastAsia="zh-CN"/>
    </w:rPr>
  </w:style>
  <w:style w:type="paragraph" w:styleId="NormalWeb">
    <w:name w:val="Normal (Web)"/>
    <w:basedOn w:val="Normal"/>
    <w:rsid w:val="0011437D"/>
    <w:pPr>
      <w:suppressAutoHyphens/>
      <w:spacing w:before="280" w:after="280"/>
    </w:pPr>
    <w:rPr>
      <w:rFonts w:ascii="Times New Roman" w:eastAsia="Times New Roman" w:hAnsi="Times New Roman" w:cs="Angsana New"/>
      <w:szCs w:val="24"/>
      <w:lang w:val="en-US" w:eastAsia="zh-CN"/>
    </w:rPr>
  </w:style>
  <w:style w:type="paragraph" w:customStyle="1" w:styleId="FigureCaption">
    <w:name w:val="Figure Caption"/>
    <w:basedOn w:val="Normal"/>
    <w:rsid w:val="0011437D"/>
    <w:pPr>
      <w:suppressAutoHyphens/>
      <w:autoSpaceDE w:val="0"/>
      <w:jc w:val="both"/>
    </w:pPr>
    <w:rPr>
      <w:rFonts w:ascii="Times New Roman" w:eastAsia="Times New Roman" w:hAnsi="Times New Roman"/>
      <w:sz w:val="16"/>
      <w:szCs w:val="16"/>
      <w:lang w:val="en-US" w:eastAsia="zh-CN"/>
    </w:rPr>
  </w:style>
  <w:style w:type="paragraph" w:customStyle="1" w:styleId="AbstractDRCN">
    <w:name w:val="Abstract DRCN"/>
    <w:basedOn w:val="Normal"/>
    <w:rsid w:val="006C7EC2"/>
    <w:pPr>
      <w:ind w:firstLine="181"/>
      <w:jc w:val="both"/>
    </w:pPr>
    <w:rPr>
      <w:rFonts w:ascii="Times New Roman" w:eastAsia="Times New Roman" w:hAnsi="Times New Roman"/>
      <w:b/>
      <w:bCs/>
      <w:sz w:val="18"/>
      <w:szCs w:val="24"/>
      <w:lang w:val="en-CA" w:eastAsia="ar-SA"/>
    </w:rPr>
  </w:style>
  <w:style w:type="character" w:customStyle="1" w:styleId="hpsatn">
    <w:name w:val="hps atn"/>
    <w:basedOn w:val="Fontepargpadro"/>
    <w:rsid w:val="006C7EC2"/>
  </w:style>
  <w:style w:type="paragraph" w:styleId="Textodebalo">
    <w:name w:val="Balloon Text"/>
    <w:basedOn w:val="Normal"/>
    <w:link w:val="TextodebaloChar"/>
    <w:uiPriority w:val="99"/>
    <w:semiHidden/>
    <w:unhideWhenUsed/>
    <w:rsid w:val="00A5049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50497"/>
    <w:rPr>
      <w:rFonts w:ascii="Lucida Grande" w:hAnsi="Lucida Grande" w:cs="Lucida Grande"/>
      <w:sz w:val="18"/>
      <w:szCs w:val="18"/>
      <w:lang w:eastAsia="en-US"/>
    </w:rPr>
  </w:style>
  <w:style w:type="paragraph" w:customStyle="1" w:styleId="para">
    <w:name w:val="para"/>
    <w:basedOn w:val="Normal"/>
    <w:link w:val="paraChar"/>
    <w:qFormat/>
    <w:rsid w:val="00C2396E"/>
    <w:pPr>
      <w:spacing w:before="180" w:after="80"/>
      <w:jc w:val="both"/>
    </w:pPr>
    <w:rPr>
      <w:rFonts w:eastAsiaTheme="minorHAnsi" w:cstheme="minorBidi"/>
      <w:szCs w:val="22"/>
    </w:rPr>
  </w:style>
  <w:style w:type="character" w:customStyle="1" w:styleId="paraChar">
    <w:name w:val="para Char"/>
    <w:basedOn w:val="Fontepargpadro"/>
    <w:link w:val="para"/>
    <w:rsid w:val="00C2396E"/>
    <w:rPr>
      <w:rFonts w:ascii="Arial" w:eastAsiaTheme="minorHAnsi" w:hAnsi="Arial" w:cstheme="minorBidi"/>
      <w:sz w:val="24"/>
      <w:szCs w:val="22"/>
      <w:lang w:eastAsia="en-US"/>
    </w:rPr>
  </w:style>
  <w:style w:type="paragraph" w:styleId="Textodenotaderodap">
    <w:name w:val="footnote text"/>
    <w:aliases w:val="Texto de rodapé"/>
    <w:basedOn w:val="Normal"/>
    <w:link w:val="TextodenotaderodapChar"/>
    <w:uiPriority w:val="99"/>
    <w:unhideWhenUsed/>
    <w:qFormat/>
    <w:rsid w:val="00676A15"/>
    <w:rPr>
      <w:rFonts w:asciiTheme="minorHAnsi" w:eastAsiaTheme="minorHAnsi" w:hAnsiTheme="minorHAnsi" w:cstheme="minorBidi"/>
      <w:sz w:val="20"/>
    </w:rPr>
  </w:style>
  <w:style w:type="character" w:customStyle="1" w:styleId="TextodenotaderodapChar">
    <w:name w:val="Texto de nota de rodapé Char"/>
    <w:aliases w:val="Texto de rodapé Char"/>
    <w:basedOn w:val="Fontepargpadro"/>
    <w:link w:val="Textodenotaderodap"/>
    <w:uiPriority w:val="99"/>
    <w:rsid w:val="00676A15"/>
    <w:rPr>
      <w:rFonts w:asciiTheme="minorHAnsi" w:eastAsiaTheme="minorHAnsi" w:hAnsiTheme="minorHAnsi" w:cstheme="minorBidi"/>
      <w:lang w:eastAsia="en-US"/>
    </w:rPr>
  </w:style>
  <w:style w:type="character" w:styleId="Refdenotaderodap">
    <w:name w:val="footnote reference"/>
    <w:aliases w:val="(Ref. de nota al pie),Referência de rodapé"/>
    <w:basedOn w:val="Fontepargpadro"/>
    <w:uiPriority w:val="99"/>
    <w:unhideWhenUsed/>
    <w:rsid w:val="00676A15"/>
    <w:rPr>
      <w:vertAlign w:val="superscript"/>
    </w:rPr>
  </w:style>
  <w:style w:type="table" w:styleId="Tabelacomgrade">
    <w:name w:val="Table Grid"/>
    <w:basedOn w:val="Tabelanormal"/>
    <w:uiPriority w:val="59"/>
    <w:rsid w:val="00676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76A15"/>
    <w:rPr>
      <w:rFonts w:asciiTheme="minorHAnsi" w:eastAsiaTheme="minorHAnsi" w:hAnsiTheme="minorHAnsi" w:cstheme="minorBidi"/>
      <w:sz w:val="22"/>
      <w:szCs w:val="22"/>
      <w:lang w:eastAsia="en-US"/>
    </w:rPr>
  </w:style>
  <w:style w:type="paragraph" w:styleId="Legenda">
    <w:name w:val="caption"/>
    <w:basedOn w:val="Normal"/>
    <w:next w:val="Normal"/>
    <w:uiPriority w:val="35"/>
    <w:unhideWhenUsed/>
    <w:qFormat/>
    <w:rsid w:val="00A522EC"/>
    <w:pPr>
      <w:spacing w:after="200"/>
      <w:jc w:val="center"/>
    </w:pPr>
    <w:rPr>
      <w:rFonts w:eastAsiaTheme="minorHAnsi" w:cstheme="minorBidi"/>
      <w:bCs/>
      <w:sz w:val="22"/>
      <w:szCs w:val="18"/>
    </w:rPr>
  </w:style>
  <w:style w:type="paragraph" w:customStyle="1" w:styleId="P">
    <w:name w:val="P"/>
    <w:basedOn w:val="Normal"/>
    <w:uiPriority w:val="99"/>
    <w:rsid w:val="00ED68D9"/>
    <w:pPr>
      <w:overflowPunct w:val="0"/>
      <w:autoSpaceDE w:val="0"/>
      <w:autoSpaceDN w:val="0"/>
      <w:adjustRightInd w:val="0"/>
      <w:spacing w:before="120" w:after="120" w:line="280" w:lineRule="atLeast"/>
      <w:ind w:firstLine="454"/>
      <w:jc w:val="both"/>
      <w:textAlignment w:val="baseline"/>
    </w:pPr>
    <w:rPr>
      <w:rFonts w:eastAsia="Times New Roman"/>
      <w:sz w:val="19"/>
      <w:lang w:eastAsia="pt-BR"/>
    </w:rPr>
  </w:style>
  <w:style w:type="paragraph" w:styleId="Sumrio3">
    <w:name w:val="toc 3"/>
    <w:basedOn w:val="Normal"/>
    <w:next w:val="Normal"/>
    <w:autoRedefine/>
    <w:uiPriority w:val="39"/>
    <w:rsid w:val="00285C25"/>
    <w:pPr>
      <w:tabs>
        <w:tab w:val="left" w:pos="1200"/>
        <w:tab w:val="right" w:leader="underscore" w:pos="10365"/>
      </w:tabs>
      <w:spacing w:after="120" w:line="276" w:lineRule="auto"/>
      <w:ind w:left="480"/>
      <w:jc w:val="both"/>
    </w:pPr>
    <w:rPr>
      <w:rFonts w:eastAsia="Times New Roman"/>
      <w:noProof/>
      <w:sz w:val="20"/>
      <w:lang w:eastAsia="pt-BR"/>
    </w:rPr>
  </w:style>
  <w:style w:type="paragraph" w:styleId="Bibliografia">
    <w:name w:val="Bibliography"/>
    <w:basedOn w:val="Normal"/>
    <w:next w:val="Normal"/>
    <w:uiPriority w:val="70"/>
    <w:rsid w:val="008C3811"/>
  </w:style>
  <w:style w:type="character" w:styleId="RefernciaSutil">
    <w:name w:val="Subtle Reference"/>
    <w:basedOn w:val="Fontepargpadro"/>
    <w:uiPriority w:val="67"/>
    <w:qFormat/>
    <w:rsid w:val="008C3811"/>
    <w:rPr>
      <w:smallCaps/>
      <w:color w:val="ED7D31" w:themeColor="accent2"/>
      <w:u w:val="single"/>
    </w:rPr>
  </w:style>
  <w:style w:type="character" w:styleId="RefernciaIntensa">
    <w:name w:val="Intense Reference"/>
    <w:basedOn w:val="Fontepargpadro"/>
    <w:uiPriority w:val="68"/>
    <w:qFormat/>
    <w:rsid w:val="008C3811"/>
    <w:rPr>
      <w:b/>
      <w:bCs/>
      <w:smallCaps/>
      <w:color w:val="ED7D31" w:themeColor="accent2"/>
      <w:spacing w:val="5"/>
      <w:u w:val="single"/>
    </w:rPr>
  </w:style>
  <w:style w:type="paragraph" w:styleId="Citao">
    <w:name w:val="Quote"/>
    <w:basedOn w:val="Normal"/>
    <w:next w:val="Normal"/>
    <w:link w:val="CitaoChar"/>
    <w:uiPriority w:val="73"/>
    <w:qFormat/>
    <w:rsid w:val="008C3811"/>
    <w:rPr>
      <w:i/>
      <w:iCs/>
      <w:color w:val="000000" w:themeColor="text1"/>
    </w:rPr>
  </w:style>
  <w:style w:type="character" w:customStyle="1" w:styleId="CitaoChar">
    <w:name w:val="Citação Char"/>
    <w:basedOn w:val="Fontepargpadro"/>
    <w:link w:val="Citao"/>
    <w:uiPriority w:val="73"/>
    <w:rsid w:val="008C3811"/>
    <w:rPr>
      <w:i/>
      <w:iCs/>
      <w:color w:val="000000" w:themeColor="text1"/>
      <w:sz w:val="24"/>
      <w:lang w:eastAsia="en-US"/>
    </w:rPr>
  </w:style>
  <w:style w:type="table" w:styleId="SombreamentoClaro">
    <w:name w:val="Light Shading"/>
    <w:basedOn w:val="Tabelanormal"/>
    <w:uiPriority w:val="99"/>
    <w:rsid w:val="00A63B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263607422">
      <w:bodyDiv w:val="1"/>
      <w:marLeft w:val="0"/>
      <w:marRight w:val="0"/>
      <w:marTop w:val="0"/>
      <w:marBottom w:val="0"/>
      <w:divBdr>
        <w:top w:val="none" w:sz="0" w:space="0" w:color="auto"/>
        <w:left w:val="none" w:sz="0" w:space="0" w:color="auto"/>
        <w:bottom w:val="none" w:sz="0" w:space="0" w:color="auto"/>
        <w:right w:val="none" w:sz="0" w:space="0" w:color="auto"/>
      </w:divBdr>
    </w:div>
    <w:div w:id="173947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ini@cepel.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silemsintese.ibge.gov.br/educacao/anos-de-estud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dra.ibge.gov.br/home/pmc/brasil" TargetMode="External"/><Relationship Id="rId4" Type="http://schemas.openxmlformats.org/officeDocument/2006/relationships/settings" Target="settings.xml"/><Relationship Id="rId9" Type="http://schemas.openxmlformats.org/officeDocument/2006/relationships/hyperlink" Target="mailto:brunomontezano@yaho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indpower_Reference.XSL" StyleName="Windpower - Reference Order">
  <b:Source>
    <b:Tag>ANE16</b:Tag>
    <b:SourceType>Book</b:SourceType>
    <b:Guid>{5B3F8900-D5DE-46CD-BD3E-61571B19CE55}</b:Guid>
    <b:Author>
      <b:Author>
        <b:Corporate>ANEEL</b:Corporate>
      </b:Author>
    </b:Author>
    <b:Title>Micro e minigeração distribuída: sistema de compensação de energia elétrica</b:Title>
    <b:Year>2016</b:Year>
    <b:City>Brasília</b:City>
    <b:Publisher>Agência Nacional de Energia Elétrica</b:Publisher>
    <b:Edition>2</b:Edition>
    <b:RefOrder>6</b:RefOrder>
  </b:Source>
  <b:Source>
    <b:Tag>SCH07</b:Tag>
    <b:SourceType>Book</b:SourceType>
    <b:Guid>{F6963403-2D7A-47E8-BE51-74F9F65DC95D}</b:Guid>
    <b:Author>
      <b:Author>
        <b:NameList>
          <b:Person>
            <b:Last>SCHIFFMAN</b:Last>
            <b:First>L.</b:First>
            <b:Middle>G.</b:Middle>
          </b:Person>
          <b:Person>
            <b:Last>KANUK</b:Last>
            <b:First>L.</b:First>
            <b:Middle>L.</b:Middle>
          </b:Person>
        </b:NameList>
      </b:Author>
    </b:Author>
    <b:Title>Consumer Behavior</b:Title>
    <b:Year>2007</b:Year>
    <b:City>Prentice Hall</b:City>
    <b:Publisher>New Jersey</b:Publisher>
    <b:Edition>9th</b:Edition>
    <b:RefOrder>3</b:RefOrder>
  </b:Source>
  <b:Source>
    <b:Tag>Sim57</b:Tag>
    <b:SourceType>BookSection</b:SourceType>
    <b:Guid>{7C0B8A17-69AD-49E5-B852-C4D41BA86F83}</b:Guid>
    <b:Author>
      <b:Author>
        <b:NameList>
          <b:Person>
            <b:Last>Simon</b:Last>
            <b:First>Herbert</b:First>
          </b:Person>
        </b:NameList>
      </b:Author>
    </b:Author>
    <b:Title>A Behavioral Model of Rational Choice</b:Title>
    <b:Year>1957</b:Year>
    <b:City>New York</b:City>
    <b:Publisher>Wiley</b:Publisher>
    <b:BookTitle>Models of Man: Social and Rational- Mathematical Essays on Rational Human Behavior in a Social Setting</b:BookTitle>
    <b:JournalName>Models of Man, Social and Rational: Mathematical Essays on Rational Human Behavior in a Social Setting</b:JournalName>
    <b:RefOrder>4</b:RefOrder>
  </b:Source>
  <b:Source>
    <b:Tag>EST14</b:Tag>
    <b:SourceType>Book</b:SourceType>
    <b:Guid>{2AC481AA-7B82-4CDE-B558-BEFCE6A8A61A}</b:Guid>
    <b:Author>
      <b:Author>
        <b:Corporate>Energy Saving Trust</b:Corporate>
      </b:Author>
    </b:Author>
    <b:Title>A buyer’s guide to wind power</b:Title>
    <b:Year>2012</b:Year>
    <b:InternetSiteTitle>Energy Saving Trust</b:InternetSiteTitle>
    <b:YearAccessed>2014</b:YearAccessed>
    <b:MonthAccessed>2</b:MonthAccessed>
    <b:DayAccessed>27</b:DayAccessed>
    <b:City>London</b:City>
    <b:Publisher>Energy Saving Trust</b:Publisher>
    <b:RefOrder>7</b:RefOrder>
  </b:Source>
  <b:Source>
    <b:Tag>EPE16</b:Tag>
    <b:SourceType>Book</b:SourceType>
    <b:Guid>{81B9D9BE-F300-478A-A7A7-24965C5D0A8C}</b:Guid>
    <b:Title>Anuário Estatístico de Energia Elétrica – ano base 2015</b:Title>
    <b:Year>2016</b:Year>
    <b:City>Rio de Janeiro</b:City>
    <b:CountryRegion>Brasil</b:CountryRegion>
    <b:Author>
      <b:Author>
        <b:Corporate>EPE</b:Corporate>
      </b:Author>
    </b:Author>
    <b:Publisher>Empresa de Pesquisa Energética – EPE</b:Publisher>
    <b:RefOrder>1</b:RefOrder>
  </b:Source>
  <b:Source>
    <b:Tag>Per15</b:Tag>
    <b:SourceType>ConferenceProceedings</b:SourceType>
    <b:Guid>{78AF90CB-A9E2-423C-9998-2BEDC2B2089A}</b:Guid>
    <b:Title>Mercado de Energia Eólica de Pequeno Porte no Brasil: Percepção do Potencial Consumidor</b:Title>
    <b:Year>2015</b:Year>
    <b:City>Rio de Janeiro</b:City>
    <b:Author>
      <b:Author>
        <b:NameList>
          <b:Person>
            <b:Last>Pereira</b:Last>
            <b:First>M.</b:First>
            <b:Middle>Giannini</b:Middle>
          </b:Person>
          <b:Person>
            <b:Last>Montezano</b:Last>
            <b:First>Bruno</b:First>
            <b:Middle>E. M.</b:Middle>
          </b:Person>
          <b:Person>
            <b:Last>Dutra</b:Last>
            <b:First>Ricardo</b:First>
            <b:Middle>M.</b:Middle>
          </b:Person>
        </b:NameList>
      </b:Author>
    </b:Author>
    <b:ConferenceName>Brazil WindPower 2015 - Conference &amp; Exhibition</b:ConferenceName>
    <b:RefOrder>12</b:RefOrder>
  </b:Source>
  <b:Source>
    <b:Tag>IBG15</b:Tag>
    <b:SourceType>InternetSite</b:SourceType>
    <b:Guid>{B01A8EE2-EEB2-4461-A4BB-762A549C9580}</b:Guid>
    <b:Author>
      <b:Author>
        <b:Corporate>IBGE</b:Corporate>
      </b:Author>
    </b:Author>
    <b:Title>Pesquisa Nacional por Amostra de Domicílios</b:Title>
    <b:Year>2015</b:Year>
    <b:City>Rio de Janeiro</b:City>
    <b:Institution>Instituto Brasileiro de Geografia e Estatística</b:Institution>
    <b:InternetSiteTitle>Sistema IBGE de Recuperação Automática - SIDRA</b:InternetSiteTitle>
    <b:URL>https://sidra.ibge.gov.br/home/pmc/brasil</b:URL>
    <b:YearAccessed>2016</b:YearAccessed>
    <b:MonthAccessed>Jun</b:MonthAccessed>
    <b:DayAccessed>1</b:DayAccessed>
    <b:RefOrder>10</b:RefOrder>
  </b:Source>
  <b:Source>
    <b:Tag>IBG151</b:Tag>
    <b:SourceType>InternetSite</b:SourceType>
    <b:Guid>{EB193C3B-1632-4A36-9C5D-32151679CE69}</b:Guid>
    <b:Author>
      <b:Author>
        <b:Corporate>IBGE</b:Corporate>
      </b:Author>
    </b:Author>
    <b:InternetSiteTitle>Brasil em Síntese</b:InternetSiteTitle>
    <b:Year>2015</b:Year>
    <b:URL>http://brasilemsintese.ibge.gov.br/educacao/anos-de-estudo.html</b:URL>
    <b:YearAccessed>2017</b:YearAccessed>
    <b:MonthAccessed>Jun</b:MonthAccessed>
    <b:DayAccessed>1</b:DayAccessed>
    <b:RefOrder>11</b:RefOrder>
  </b:Source>
  <b:Source>
    <b:Tag>Dee17</b:Tag>
    <b:SourceType>ArticleInAPeriodical</b:SourceType>
    <b:Guid>{18A0C8EF-5944-49E4-AF6C-852E8E512503}</b:Guid>
    <b:Year>2017</b:Year>
    <b:Title>Factors influencing buying behaviour of green energy consumer</b:Title>
    <b:Pages>393-405</b:Pages>
    <b:Volume>151</b:Volume>
    <b:Author>
      <b:Author>
        <b:NameList>
          <b:Person>
            <b:Last>Deepak Sangroya</b:Last>
            <b:First>Jogendra</b:First>
            <b:Middle>Kumar Nayak</b:Middle>
          </b:Person>
        </b:NameList>
      </b:Author>
    </b:Author>
    <b:PeriodicalTitle>Journal of Cleaner Production </b:PeriodicalTitle>
    <b:RefOrder>5</b:RefOrder>
  </b:Source>
  <b:Source>
    <b:Tag>EspaçoReservado1</b:Tag>
    <b:SourceType>ArticleInAPeriodical</b:SourceType>
    <b:Guid>{808D59A1-3AF9-4020-9AE3-71565B1E0905}</b:Guid>
    <b:Year>2017</b:Year>
    <b:Title>Factors influencing buying behaviour of green energy consumer</b:Title>
    <b:Pages>393-405</b:Pages>
    <b:Volume>151</b:Volume>
    <b:Author>
      <b:Author>
        <b:NameList>
          <b:Person>
            <b:Last>Sangroya</b:Last>
            <b:First>Deepak</b:First>
          </b:Person>
          <b:Person>
            <b:Last>Nayak</b:Last>
            <b:First>Jogendra</b:First>
            <b:Middle>Kumar</b:Middle>
          </b:Person>
        </b:NameList>
      </b:Author>
    </b:Author>
    <b:PeriodicalTitle>Journal of Cleaner Production</b:PeriodicalTitle>
    <b:RefOrder>9</b:RefOrder>
  </b:Source>
  <b:Source>
    <b:Tag>Har12</b:Tag>
    <b:SourceType>ArticleInAPeriodical</b:SourceType>
    <b:Guid>{FD44AADD-3FE4-41A6-ACCD-23EEBF1CFD95}</b:Guid>
    <b:Author>
      <b:Author>
        <b:NameList>
          <b:Person>
            <b:Last>Hartmann</b:Last>
            <b:First>P.</b:First>
          </b:Person>
          <b:Person>
            <b:Last>Apaolaza-Ibáñez</b:Last>
            <b:First>V.</b:First>
          </b:Person>
        </b:NameList>
      </b:Author>
    </b:Author>
    <b:Title>Consumer attitude and purchase intention toward green energy brands: the roles of psychological benefits and environmental concern</b:Title>
    <b:PeriodicalTitle>J. Bus. Res.</b:PeriodicalTitle>
    <b:Year>2012</b:Year>
    <b:Pages>1254-1263</b:Pages>
    <b:Volume>65</b:Volume>
    <b:Issue>9</b:Issue>
    <b:RefOrder>8</b:RefOrder>
  </b:Source>
  <b:Source>
    <b:Tag>Zar03</b:Tag>
    <b:SourceType>ArticleInAPeriodical</b:SourceType>
    <b:Guid>{EACECBAC-C151-4DCA-824C-3978B1A963BA}</b:Guid>
    <b:Author>
      <b:Author>
        <b:NameList>
          <b:Person>
            <b:Last>Zarnikau</b:Last>
            <b:First>J.</b:First>
          </b:Person>
        </b:NameList>
      </b:Author>
    </b:Author>
    <b:Title>Consumer demand for "green power" and energy efficiency</b:Title>
    <b:PeriodicalTitle>Energy Policy</b:PeriodicalTitle>
    <b:Year>2003</b:Year>
    <b:Pages>1661-1672</b:Pages>
    <b:Volume>31</b:Volume>
    <b:Issue>15</b:Issue>
    <b:RefOrder>2</b:RefOrder>
  </b:Source>
</b:Sources>
</file>

<file path=customXml/itemProps1.xml><?xml version="1.0" encoding="utf-8"?>
<ds:datastoreItem xmlns:ds="http://schemas.openxmlformats.org/officeDocument/2006/customXml" ds:itemID="{4F05C327-8DB3-44A5-BD53-3E063FE5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3976</Words>
  <Characters>21472</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Company>
  <LinksUpToDate>false</LinksUpToDate>
  <CharactersWithSpaces>25398</CharactersWithSpaces>
  <SharedDoc>false</SharedDoc>
  <HLinks>
    <vt:vector size="12" baseType="variant">
      <vt:variant>
        <vt:i4>6619234</vt:i4>
      </vt:variant>
      <vt:variant>
        <vt:i4>2061</vt:i4>
      </vt:variant>
      <vt:variant>
        <vt:i4>1025</vt:i4>
      </vt:variant>
      <vt:variant>
        <vt:i4>1</vt:i4>
      </vt:variant>
      <vt:variant>
        <vt:lpwstr>cabeca</vt:lpwstr>
      </vt:variant>
      <vt:variant>
        <vt:lpwstr/>
      </vt:variant>
      <vt:variant>
        <vt:i4>7012454</vt:i4>
      </vt:variant>
      <vt:variant>
        <vt:i4>2064</vt:i4>
      </vt:variant>
      <vt:variant>
        <vt:i4>1026</vt:i4>
      </vt:variant>
      <vt:variant>
        <vt:i4>1</vt:i4>
      </vt:variant>
      <vt:variant>
        <vt:lpwstr>rodape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Ferreira</dc:creator>
  <cp:lastModifiedBy>Márcio Giannini Pereira</cp:lastModifiedBy>
  <cp:revision>1</cp:revision>
  <cp:lastPrinted>2015-03-04T15:02:00Z</cp:lastPrinted>
  <dcterms:created xsi:type="dcterms:W3CDTF">2017-06-21T19:33:00Z</dcterms:created>
  <dcterms:modified xsi:type="dcterms:W3CDTF">2017-06-23T14:58:00Z</dcterms:modified>
</cp:coreProperties>
</file>