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93C" w:rsidRPr="000D48B3" w:rsidRDefault="003B593C" w:rsidP="003B593C">
      <w:pPr>
        <w:spacing w:line="360" w:lineRule="auto"/>
        <w:jc w:val="center"/>
        <w:rPr>
          <w:rFonts w:ascii="Times New Roman" w:eastAsia="Times New Roman" w:hAnsi="Times New Roman"/>
          <w:b/>
          <w:szCs w:val="24"/>
          <w:lang w:eastAsia="pt-BR"/>
        </w:rPr>
      </w:pPr>
      <w:bookmarkStart w:id="0" w:name="_GoBack"/>
      <w:bookmarkStart w:id="1" w:name="Author_1"/>
      <w:bookmarkEnd w:id="0"/>
      <w:r w:rsidRPr="000D48B3">
        <w:rPr>
          <w:rFonts w:ascii="Times New Roman" w:eastAsia="Times New Roman" w:hAnsi="Times New Roman"/>
          <w:b/>
          <w:szCs w:val="24"/>
          <w:lang w:eastAsia="pt-BR"/>
        </w:rPr>
        <w:t>ANÁLISE DO IMPACTO ENERGÉTICO DA VARIABILIDADE DA PRODUÇÃO DE ENERGIA EÓLICA NO SISTEMA ELÉTRICO BRASILEIRO</w:t>
      </w:r>
      <w:r>
        <w:rPr>
          <w:rFonts w:ascii="Times New Roman" w:eastAsia="Times New Roman" w:hAnsi="Times New Roman"/>
          <w:b/>
          <w:szCs w:val="24"/>
          <w:lang w:eastAsia="pt-BR"/>
        </w:rPr>
        <w:t xml:space="preserve"> </w:t>
      </w:r>
    </w:p>
    <w:bookmarkEnd w:id="1"/>
    <w:p w:rsidR="0011437D" w:rsidRPr="00A64061" w:rsidRDefault="00304C8E" w:rsidP="0011437D">
      <w:pPr>
        <w:pStyle w:val="Authorname"/>
        <w:spacing w:before="360" w:line="360" w:lineRule="auto"/>
        <w:rPr>
          <w:rFonts w:ascii="Times New Roman" w:hAnsi="Times New Roman"/>
          <w:szCs w:val="24"/>
        </w:rPr>
      </w:pPr>
      <w:r w:rsidRPr="00A64061">
        <w:rPr>
          <w:rFonts w:ascii="Times New Roman" w:hAnsi="Times New Roman"/>
          <w:szCs w:val="24"/>
        </w:rPr>
        <w:t xml:space="preserve">El-Heri Y.S.¹, Borba B. S.², Bezerra B.³, </w:t>
      </w:r>
      <m:oMath>
        <m:sSup>
          <m:sSupPr>
            <m:ctrlPr>
              <w:rPr>
                <w:rFonts w:ascii="Cambria Math" w:hAnsi="Times New Roman"/>
                <w:i/>
                <w:szCs w:val="24"/>
                <w:lang w:val="pt-B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Carvalho</m:t>
            </m:r>
            <m:r>
              <m:rPr>
                <m:sty m:val="b"/>
              </m:rPr>
              <w:rPr>
                <w:rFonts w:ascii="Cambria Math" w:hAnsi="Times New Roman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M</m:t>
            </m:r>
            <m:r>
              <m:rPr>
                <m:sty m:val="b"/>
              </m:rPr>
              <w:rPr>
                <w:rFonts w:ascii="Cambria Math" w:hAnsi="Times New Roman"/>
                <w:szCs w:val="24"/>
              </w:rPr>
              <m:t>.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R</m:t>
            </m:r>
            <m:r>
              <m:rPr>
                <m:sty m:val="b"/>
              </m:rPr>
              <w:rPr>
                <w:rFonts w:ascii="Cambria Math" w:hAnsi="Times New Roman"/>
                <w:szCs w:val="24"/>
              </w:rPr>
              <m:t>.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M</m:t>
            </m:r>
            <m:r>
              <m:rPr>
                <m:sty m:val="b"/>
              </m:rPr>
              <w:rPr>
                <w:rFonts w:ascii="Cambria Math" w:hAnsi="Times New Roman"/>
                <w:szCs w:val="24"/>
              </w:rPr>
              <m:t>.</m:t>
            </m:r>
          </m:e>
          <m:sup>
            <m:r>
              <m:rPr>
                <m:sty m:val="bi"/>
              </m:rPr>
              <w:rPr>
                <w:rFonts w:ascii="Cambria Math" w:hAnsi="Cambria Math"/>
                <w:szCs w:val="24"/>
                <w:lang w:val="pt-BR"/>
              </w:rPr>
              <m:t>4</m:t>
            </m:r>
          </m:sup>
        </m:sSup>
      </m:oMath>
      <w:r w:rsidR="00DA0BB4" w:rsidRPr="00A64061">
        <w:rPr>
          <w:rFonts w:ascii="Times New Roman" w:hAnsi="Times New Roman"/>
          <w:szCs w:val="24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pt-B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Dall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’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Orto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C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.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E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.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R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.</m:t>
            </m:r>
            <m:r>
              <m:rPr>
                <m:sty m:val="b"/>
              </m:rPr>
              <w:rPr>
                <w:rFonts w:ascii="Cambria Math" w:hAnsi="Cambria Math"/>
                <w:szCs w:val="24"/>
                <w:lang w:val="pt-BR"/>
              </w:rPr>
              <m:t>C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.</m:t>
            </m:r>
          </m:e>
          <m:sup>
            <m:r>
              <m:rPr>
                <m:sty m:val="bi"/>
              </m:rPr>
              <w:rPr>
                <w:rFonts w:ascii="Cambria Math" w:hAnsi="Cambria Math"/>
                <w:szCs w:val="24"/>
                <w:lang w:val="pt-BR"/>
              </w:rPr>
              <m:t>5</m:t>
            </m:r>
          </m:sup>
        </m:sSup>
      </m:oMath>
    </w:p>
    <w:p w:rsidR="00304C8E" w:rsidRPr="000A1EB9" w:rsidRDefault="00304C8E" w:rsidP="00304C8E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1 </w:t>
      </w:r>
      <w:r w:rsidRPr="000A1EB9">
        <w:rPr>
          <w:rFonts w:ascii="Times New Roman" w:hAnsi="Times New Roman"/>
          <w:szCs w:val="24"/>
          <w:lang w:val="pt-BR"/>
        </w:rPr>
        <w:t>Engenheira Eletricista pela Universidade Federal Fluminense</w:t>
      </w:r>
    </w:p>
    <w:p w:rsidR="00304C8E" w:rsidRDefault="00304C8E" w:rsidP="00546830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2 Professor Adjunto Universidade Federal Fluminense</w:t>
      </w:r>
    </w:p>
    <w:p w:rsidR="0011437D" w:rsidRPr="000A1EB9" w:rsidRDefault="00304C8E" w:rsidP="00546830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3</w:t>
      </w:r>
      <w:r w:rsidR="0011437D" w:rsidRPr="000A1EB9">
        <w:rPr>
          <w:rFonts w:ascii="Times New Roman" w:hAnsi="Times New Roman"/>
          <w:szCs w:val="24"/>
          <w:lang w:val="pt-BR"/>
        </w:rPr>
        <w:t xml:space="preserve"> </w:t>
      </w:r>
      <w:r w:rsidR="00546830" w:rsidRPr="000A1EB9">
        <w:rPr>
          <w:rFonts w:ascii="Times New Roman" w:hAnsi="Times New Roman"/>
          <w:szCs w:val="24"/>
          <w:lang w:val="pt-BR"/>
        </w:rPr>
        <w:t>Diretor Técnico na PSR</w:t>
      </w:r>
    </w:p>
    <w:p w:rsidR="0011437D" w:rsidRDefault="00304C8E" w:rsidP="0011437D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4</w:t>
      </w:r>
      <w:r w:rsidR="0011437D" w:rsidRPr="000A1EB9">
        <w:rPr>
          <w:rFonts w:ascii="Times New Roman" w:hAnsi="Times New Roman"/>
          <w:szCs w:val="24"/>
          <w:lang w:val="pt-BR"/>
        </w:rPr>
        <w:t xml:space="preserve"> </w:t>
      </w:r>
      <w:r w:rsidR="0039362C">
        <w:rPr>
          <w:rFonts w:ascii="Times New Roman" w:hAnsi="Times New Roman"/>
          <w:szCs w:val="24"/>
          <w:lang w:val="pt-BR"/>
        </w:rPr>
        <w:t>Consultora A</w:t>
      </w:r>
      <w:r w:rsidR="00546830" w:rsidRPr="000A1EB9">
        <w:rPr>
          <w:rFonts w:ascii="Times New Roman" w:hAnsi="Times New Roman"/>
          <w:szCs w:val="24"/>
          <w:lang w:val="pt-BR"/>
        </w:rPr>
        <w:t>ssociada na PSR</w:t>
      </w:r>
    </w:p>
    <w:p w:rsidR="00DA0BB4" w:rsidRPr="000A1EB9" w:rsidRDefault="00DA0BB4" w:rsidP="0011437D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5 Consultor PSR</w:t>
      </w:r>
    </w:p>
    <w:p w:rsidR="0011437D" w:rsidRDefault="003334BE" w:rsidP="0011437D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r w:rsidRPr="00DF3856">
        <w:rPr>
          <w:rFonts w:ascii="Times New Roman" w:hAnsi="Times New Roman"/>
          <w:b/>
          <w:szCs w:val="24"/>
          <w:lang w:val="pt-BR"/>
        </w:rPr>
        <w:t>PSR</w:t>
      </w:r>
      <w:r>
        <w:rPr>
          <w:rFonts w:ascii="Times New Roman" w:hAnsi="Times New Roman"/>
          <w:szCs w:val="24"/>
          <w:lang w:val="pt-BR"/>
        </w:rPr>
        <w:t xml:space="preserve"> - </w:t>
      </w:r>
      <w:r w:rsidR="000A1EB9" w:rsidRPr="000A1EB9">
        <w:rPr>
          <w:rFonts w:ascii="Times New Roman" w:hAnsi="Times New Roman"/>
          <w:szCs w:val="24"/>
          <w:lang w:val="pt-BR"/>
        </w:rPr>
        <w:t>Praia de Botafogo 228, 1701-A, Rio de Janeiro, RJ-Brasil</w:t>
      </w:r>
    </w:p>
    <w:p w:rsidR="003334BE" w:rsidRPr="000A1EB9" w:rsidRDefault="003334BE" w:rsidP="0011437D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r w:rsidRPr="00DF3856">
        <w:rPr>
          <w:rFonts w:ascii="Times New Roman" w:hAnsi="Times New Roman"/>
          <w:b/>
          <w:szCs w:val="24"/>
          <w:lang w:val="pt-BR"/>
        </w:rPr>
        <w:t>Escola de Engenharia UFF</w:t>
      </w:r>
      <w:r>
        <w:rPr>
          <w:rFonts w:ascii="Times New Roman" w:hAnsi="Times New Roman"/>
          <w:szCs w:val="24"/>
          <w:lang w:val="pt-BR"/>
        </w:rPr>
        <w:t xml:space="preserve"> - Rua Passo da Pátria 156, São Domingos, Niterói, RJ-Brasil</w:t>
      </w:r>
    </w:p>
    <w:p w:rsidR="000A1EB9" w:rsidRPr="006B1105" w:rsidRDefault="007514BF" w:rsidP="000A1EB9">
      <w:pPr>
        <w:pStyle w:val="AuthorAffilliation"/>
        <w:spacing w:line="360" w:lineRule="auto"/>
        <w:rPr>
          <w:rFonts w:ascii="Times New Roman" w:hAnsi="Times New Roman"/>
          <w:szCs w:val="24"/>
          <w:lang w:val="pt-BR"/>
        </w:rPr>
      </w:pPr>
      <w:hyperlink r:id="rId8" w:history="1">
        <w:r w:rsidR="00304C8E" w:rsidRPr="00DF3856">
          <w:rPr>
            <w:rStyle w:val="Hyperlink"/>
            <w:rFonts w:ascii="Times New Roman" w:hAnsi="Times New Roman"/>
            <w:szCs w:val="24"/>
            <w:shd w:val="clear" w:color="auto" w:fill="FFFFFF"/>
            <w:lang w:val="pt-BR"/>
          </w:rPr>
          <w:t>yasminah@id.uff.br</w:t>
        </w:r>
      </w:hyperlink>
      <w:r w:rsidR="00304C8E">
        <w:rPr>
          <w:rFonts w:ascii="Times New Roman" w:hAnsi="Times New Roman"/>
          <w:szCs w:val="24"/>
          <w:lang w:val="pt-BR"/>
        </w:rPr>
        <w:t xml:space="preserve">, </w:t>
      </w:r>
      <w:hyperlink r:id="rId9" w:history="1">
        <w:r w:rsidR="00304C8E" w:rsidRPr="00DF3856">
          <w:rPr>
            <w:rStyle w:val="Hyperlink"/>
            <w:rFonts w:ascii="Times New Roman" w:hAnsi="Times New Roman"/>
            <w:szCs w:val="24"/>
            <w:lang w:val="pt-BR"/>
          </w:rPr>
          <w:t>bborba@id.uff.br</w:t>
        </w:r>
      </w:hyperlink>
      <w:r w:rsidR="00304C8E">
        <w:rPr>
          <w:rFonts w:ascii="Times New Roman" w:hAnsi="Times New Roman"/>
          <w:szCs w:val="24"/>
          <w:lang w:val="pt-BR"/>
        </w:rPr>
        <w:t xml:space="preserve">, </w:t>
      </w:r>
      <w:hyperlink r:id="rId10" w:history="1">
        <w:r w:rsidR="000A1EB9" w:rsidRPr="00DF3856">
          <w:rPr>
            <w:rStyle w:val="Hyperlink"/>
            <w:rFonts w:ascii="Times New Roman" w:hAnsi="Times New Roman"/>
            <w:szCs w:val="24"/>
            <w:shd w:val="clear" w:color="auto" w:fill="FFFFFF"/>
            <w:lang w:val="pt-BR"/>
          </w:rPr>
          <w:t>bernardo@psr-inc.com</w:t>
        </w:r>
      </w:hyperlink>
      <w:r w:rsidR="000A1EB9" w:rsidRPr="000A1EB9">
        <w:rPr>
          <w:rFonts w:ascii="Times New Roman" w:hAnsi="Times New Roman"/>
          <w:szCs w:val="24"/>
          <w:lang w:val="pt-BR"/>
        </w:rPr>
        <w:t xml:space="preserve">, </w:t>
      </w:r>
      <w:hyperlink r:id="rId11" w:history="1">
        <w:r w:rsidR="000A1EB9" w:rsidRPr="00DF3856">
          <w:rPr>
            <w:rStyle w:val="Hyperlink"/>
            <w:rFonts w:ascii="Times New Roman" w:hAnsi="Times New Roman"/>
            <w:szCs w:val="24"/>
            <w:shd w:val="clear" w:color="auto" w:fill="FFFFFF"/>
            <w:lang w:val="pt-BR"/>
          </w:rPr>
          <w:t>martha@psr-inc.com</w:t>
        </w:r>
      </w:hyperlink>
      <w:r w:rsidR="006B1105">
        <w:rPr>
          <w:rFonts w:ascii="Times New Roman" w:hAnsi="Times New Roman"/>
          <w:color w:val="000000"/>
          <w:szCs w:val="24"/>
          <w:shd w:val="clear" w:color="auto" w:fill="FFFFFF"/>
          <w:lang w:val="pt-BR"/>
        </w:rPr>
        <w:t xml:space="preserve">, </w:t>
      </w:r>
      <w:hyperlink r:id="rId12" w:history="1">
        <w:r w:rsidR="006B1105" w:rsidRPr="00CD56DB">
          <w:rPr>
            <w:rStyle w:val="Hyperlink"/>
            <w:rFonts w:ascii="Times New Roman" w:hAnsi="Times New Roman"/>
            <w:szCs w:val="24"/>
            <w:shd w:val="clear" w:color="auto" w:fill="FFFFFF"/>
            <w:lang w:val="pt-BR"/>
          </w:rPr>
          <w:t>celso@psr-inc.com</w:t>
        </w:r>
      </w:hyperlink>
      <w:r w:rsidR="006B1105">
        <w:rPr>
          <w:rFonts w:ascii="Times New Roman" w:hAnsi="Times New Roman"/>
          <w:color w:val="000000"/>
          <w:szCs w:val="24"/>
          <w:shd w:val="clear" w:color="auto" w:fill="FFFFFF"/>
          <w:lang w:val="pt-BR"/>
        </w:rPr>
        <w:t xml:space="preserve"> </w:t>
      </w:r>
    </w:p>
    <w:p w:rsidR="0011437D" w:rsidRPr="0090508B" w:rsidRDefault="0090508B" w:rsidP="0011437D">
      <w:pPr>
        <w:pStyle w:val="HeaderAbs"/>
        <w:spacing w:line="360" w:lineRule="auto"/>
        <w:rPr>
          <w:rStyle w:val="hps"/>
          <w:rFonts w:ascii="Times New Roman" w:hAnsi="Times New Roman"/>
          <w:lang w:val="pt-PT"/>
        </w:rPr>
      </w:pPr>
      <w:r w:rsidRPr="0090508B">
        <w:rPr>
          <w:rFonts w:ascii="Times New Roman" w:hAnsi="Times New Roman"/>
          <w:lang w:val="pt-BR"/>
        </w:rPr>
        <w:t>RESUMO</w:t>
      </w:r>
    </w:p>
    <w:p w:rsidR="0090508B" w:rsidRPr="000D48B3" w:rsidRDefault="0090508B" w:rsidP="00F4439F">
      <w:pPr>
        <w:spacing w:after="240" w:line="360" w:lineRule="auto"/>
        <w:jc w:val="both"/>
        <w:rPr>
          <w:rFonts w:ascii="Times New Roman" w:eastAsia="Times New Roman" w:hAnsi="Times New Roman"/>
          <w:szCs w:val="24"/>
          <w:lang w:eastAsia="pt-BR"/>
        </w:rPr>
      </w:pPr>
      <w:r w:rsidRPr="000D48B3">
        <w:rPr>
          <w:rFonts w:ascii="Times New Roman" w:eastAsia="Times New Roman" w:hAnsi="Times New Roman"/>
          <w:szCs w:val="24"/>
          <w:lang w:eastAsia="pt-BR"/>
        </w:rPr>
        <w:t xml:space="preserve">A capacidade eólica instalada no Brasil vem crescendo significativamente nos últimos anos. Esta fonte é considerada intermitente, característica </w:t>
      </w:r>
      <w:r w:rsidR="00F4439F">
        <w:rPr>
          <w:rFonts w:ascii="Times New Roman" w:eastAsia="Times New Roman" w:hAnsi="Times New Roman"/>
          <w:szCs w:val="24"/>
          <w:lang w:eastAsia="pt-BR"/>
        </w:rPr>
        <w:t xml:space="preserve">que </w:t>
      </w:r>
      <w:r w:rsidRPr="000D48B3">
        <w:rPr>
          <w:rFonts w:ascii="Times New Roman" w:eastAsia="Times New Roman" w:hAnsi="Times New Roman"/>
          <w:szCs w:val="24"/>
          <w:lang w:eastAsia="pt-BR"/>
        </w:rPr>
        <w:t xml:space="preserve">acaba gerando algumas barreiras na implementação e aceitação da mesma. Quanto maior a sua inserção, mais difícil torna-se prever a quantidade de energia gerada por ela, o que pode </w:t>
      </w:r>
      <w:r>
        <w:rPr>
          <w:rFonts w:ascii="Times New Roman" w:eastAsia="Times New Roman" w:hAnsi="Times New Roman"/>
          <w:szCs w:val="24"/>
          <w:lang w:eastAsia="pt-BR"/>
        </w:rPr>
        <w:t>dificultar o</w:t>
      </w:r>
      <w:r w:rsidRPr="000D48B3">
        <w:rPr>
          <w:rFonts w:ascii="Times New Roman" w:eastAsia="Times New Roman" w:hAnsi="Times New Roman"/>
          <w:szCs w:val="24"/>
          <w:lang w:eastAsia="pt-BR"/>
        </w:rPr>
        <w:t xml:space="preserve"> planejamento a longo prazo e aumentar os riscos de déficit no sistema. A operação do Sistema Elétrico Brasileiro </w:t>
      </w:r>
      <w:r w:rsidR="00F4439F">
        <w:rPr>
          <w:rFonts w:ascii="Times New Roman" w:eastAsia="Times New Roman" w:hAnsi="Times New Roman"/>
          <w:szCs w:val="24"/>
          <w:lang w:eastAsia="pt-BR"/>
        </w:rPr>
        <w:t xml:space="preserve">(SEB) </w:t>
      </w:r>
      <w:r w:rsidRPr="000D48B3">
        <w:rPr>
          <w:rFonts w:ascii="Times New Roman" w:eastAsia="Times New Roman" w:hAnsi="Times New Roman"/>
          <w:szCs w:val="24"/>
          <w:lang w:eastAsia="pt-BR"/>
        </w:rPr>
        <w:t xml:space="preserve">conta com o auxílio de modelos matemáticos/computacionais para o despacho hidrotérmico, a fim de se obter a melhor aproximação do despacho ótimo que minimiza os custos operativos totais, e garante o atendimento à demanda. Este trabalho tem como objetivo analisar os impactos no âmbito energético da variabilidade na produção de energia eólica no </w:t>
      </w:r>
      <w:r w:rsidR="00F4439F">
        <w:rPr>
          <w:rFonts w:ascii="Times New Roman" w:eastAsia="Times New Roman" w:hAnsi="Times New Roman"/>
          <w:szCs w:val="24"/>
          <w:lang w:eastAsia="pt-BR"/>
        </w:rPr>
        <w:t>SEB</w:t>
      </w:r>
      <w:r>
        <w:rPr>
          <w:rFonts w:ascii="Times New Roman" w:eastAsia="Times New Roman" w:hAnsi="Times New Roman"/>
          <w:szCs w:val="24"/>
          <w:lang w:eastAsia="pt-BR"/>
        </w:rPr>
        <w:t xml:space="preserve"> </w:t>
      </w:r>
      <w:r w:rsidR="00FD6FC6">
        <w:rPr>
          <w:rFonts w:ascii="Times New Roman" w:eastAsia="Times New Roman" w:hAnsi="Times New Roman"/>
          <w:szCs w:val="24"/>
          <w:lang w:eastAsia="pt-BR"/>
        </w:rPr>
        <w:t>através dos</w:t>
      </w:r>
      <w:r w:rsidR="00C97238">
        <w:rPr>
          <w:rFonts w:ascii="Times New Roman" w:eastAsia="Times New Roman" w:hAnsi="Times New Roman"/>
          <w:szCs w:val="24"/>
          <w:lang w:eastAsia="pt-BR"/>
        </w:rPr>
        <w:t xml:space="preserve"> Custos Marginais de Operação (CMO) </w:t>
      </w:r>
      <w:r w:rsidR="003B593C">
        <w:rPr>
          <w:rFonts w:ascii="Times New Roman" w:eastAsia="Times New Roman" w:hAnsi="Times New Roman"/>
          <w:szCs w:val="24"/>
          <w:lang w:eastAsia="pt-BR"/>
        </w:rPr>
        <w:t xml:space="preserve">considerando </w:t>
      </w:r>
      <w:r w:rsidR="00A64061">
        <w:rPr>
          <w:rFonts w:ascii="Times New Roman" w:eastAsia="Times New Roman" w:hAnsi="Times New Roman"/>
          <w:szCs w:val="24"/>
          <w:lang w:eastAsia="pt-BR"/>
        </w:rPr>
        <w:t>diferentes níveis de penetra</w:t>
      </w:r>
      <w:r w:rsidRPr="000D48B3">
        <w:rPr>
          <w:rFonts w:ascii="Times New Roman" w:eastAsia="Times New Roman" w:hAnsi="Times New Roman"/>
          <w:szCs w:val="24"/>
          <w:lang w:eastAsia="pt-BR"/>
        </w:rPr>
        <w:t>ção de eólicas.</w:t>
      </w:r>
      <w:r w:rsidR="00C97238">
        <w:rPr>
          <w:rFonts w:ascii="Times New Roman" w:eastAsia="Times New Roman" w:hAnsi="Times New Roman"/>
          <w:szCs w:val="24"/>
          <w:lang w:eastAsia="pt-BR"/>
        </w:rPr>
        <w:t xml:space="preserve"> </w:t>
      </w:r>
      <w:r w:rsidRPr="000D48B3">
        <w:rPr>
          <w:rFonts w:ascii="Times New Roman" w:eastAsia="Times New Roman" w:hAnsi="Times New Roman"/>
          <w:szCs w:val="24"/>
          <w:lang w:eastAsia="pt-BR"/>
        </w:rPr>
        <w:t>Também foi analisado o benefício de considerar a estocasticidade eólica no cálculo da política operativa do sis</w:t>
      </w:r>
      <w:r w:rsidR="00DE3DF9">
        <w:rPr>
          <w:rFonts w:ascii="Times New Roman" w:eastAsia="Times New Roman" w:hAnsi="Times New Roman"/>
          <w:szCs w:val="24"/>
          <w:lang w:eastAsia="pt-BR"/>
        </w:rPr>
        <w:t>tema</w:t>
      </w:r>
      <w:r w:rsidR="00C97238">
        <w:rPr>
          <w:rFonts w:ascii="Times New Roman" w:eastAsia="Times New Roman" w:hAnsi="Times New Roman"/>
          <w:szCs w:val="24"/>
          <w:lang w:eastAsia="pt-BR"/>
        </w:rPr>
        <w:t>. Para isto, foi utilizado</w:t>
      </w:r>
      <w:r w:rsidR="00550280">
        <w:rPr>
          <w:rFonts w:ascii="Times New Roman" w:eastAsia="Times New Roman" w:hAnsi="Times New Roman"/>
          <w:szCs w:val="24"/>
          <w:lang w:eastAsia="pt-BR"/>
        </w:rPr>
        <w:t xml:space="preserve"> um estudo de caso real com dados do SEB </w:t>
      </w:r>
      <w:r w:rsidR="00385D70">
        <w:rPr>
          <w:rFonts w:ascii="Times New Roman" w:eastAsia="Times New Roman" w:hAnsi="Times New Roman"/>
          <w:szCs w:val="24"/>
          <w:lang w:eastAsia="pt-BR"/>
        </w:rPr>
        <w:t xml:space="preserve">de 2016 </w:t>
      </w:r>
      <w:r w:rsidR="00550280">
        <w:rPr>
          <w:rFonts w:ascii="Times New Roman" w:eastAsia="Times New Roman" w:hAnsi="Times New Roman"/>
          <w:szCs w:val="24"/>
          <w:lang w:eastAsia="pt-BR"/>
        </w:rPr>
        <w:t>até 2030</w:t>
      </w:r>
      <w:r w:rsidRPr="000D48B3">
        <w:rPr>
          <w:rFonts w:ascii="Times New Roman" w:eastAsia="Times New Roman" w:hAnsi="Times New Roman"/>
          <w:szCs w:val="24"/>
          <w:lang w:eastAsia="pt-BR"/>
        </w:rPr>
        <w:t>.</w:t>
      </w:r>
      <w:r>
        <w:rPr>
          <w:rFonts w:ascii="Times New Roman" w:eastAsia="Times New Roman" w:hAnsi="Times New Roman"/>
          <w:szCs w:val="24"/>
          <w:lang w:eastAsia="pt-BR"/>
        </w:rPr>
        <w:t xml:space="preserve"> </w:t>
      </w:r>
    </w:p>
    <w:p w:rsidR="0011437D" w:rsidRPr="001C1989" w:rsidRDefault="0011437D" w:rsidP="001C1989">
      <w:pPr>
        <w:spacing w:after="240" w:line="360" w:lineRule="auto"/>
        <w:rPr>
          <w:rFonts w:ascii="Times New Roman" w:hAnsi="Times New Roman"/>
          <w:i/>
          <w:sz w:val="16"/>
          <w:szCs w:val="16"/>
        </w:rPr>
      </w:pPr>
      <w:r w:rsidRPr="00F4439F">
        <w:rPr>
          <w:rFonts w:ascii="Times New Roman" w:hAnsi="Times New Roman"/>
          <w:b/>
        </w:rPr>
        <w:t xml:space="preserve">Palavras-chave: </w:t>
      </w:r>
      <w:r w:rsidR="00F4439F" w:rsidRPr="00F4439F">
        <w:rPr>
          <w:rFonts w:ascii="Times New Roman" w:eastAsia="Times New Roman" w:hAnsi="Times New Roman"/>
          <w:i/>
          <w:szCs w:val="24"/>
          <w:lang w:eastAsia="pt-BR"/>
        </w:rPr>
        <w:t xml:space="preserve">Energia Eólica, Cenários de Geração Eólica, Variabilidade Eólica, Despacho Hidrotérmico, </w:t>
      </w:r>
      <w:r w:rsidR="00F4439F">
        <w:rPr>
          <w:rFonts w:ascii="Times New Roman" w:eastAsia="Times New Roman" w:hAnsi="Times New Roman"/>
          <w:i/>
          <w:szCs w:val="24"/>
          <w:lang w:eastAsia="pt-BR"/>
        </w:rPr>
        <w:t>Planejamento do Sistema Elétrico</w:t>
      </w:r>
      <w:r w:rsidR="00F4439F" w:rsidRPr="00F4439F">
        <w:rPr>
          <w:rFonts w:ascii="Times New Roman" w:eastAsia="Times New Roman" w:hAnsi="Times New Roman"/>
          <w:i/>
          <w:szCs w:val="24"/>
          <w:lang w:eastAsia="pt-BR"/>
        </w:rPr>
        <w:t>.</w:t>
      </w:r>
    </w:p>
    <w:p w:rsidR="00550280" w:rsidRDefault="00550280" w:rsidP="002113B0">
      <w:pPr>
        <w:pStyle w:val="Ttulo1"/>
        <w:numPr>
          <w:ilvl w:val="0"/>
          <w:numId w:val="6"/>
        </w:numPr>
        <w:tabs>
          <w:tab w:val="left" w:pos="567"/>
        </w:tabs>
        <w:spacing w:before="120" w:after="120" w:line="360" w:lineRule="auto"/>
        <w:ind w:left="357" w:hanging="357"/>
      </w:pPr>
      <w:r>
        <w:lastRenderedPageBreak/>
        <w:t>Introdução</w:t>
      </w:r>
    </w:p>
    <w:p w:rsidR="007514BF" w:rsidRDefault="0055028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>
        <w:rPr>
          <w:rFonts w:ascii="Times New Roman" w:eastAsia="Times New Roman" w:hAnsi="Times New Roman"/>
          <w:szCs w:val="24"/>
          <w:lang w:val="pt-PT" w:eastAsia="pt-BR"/>
        </w:rPr>
        <w:t>No Setor Elétrico Brasileiro (SEB) o problema do despacho hidrotérmico é resolvido através da metodologia de Programação Dinâmica Dual Estocástica (PDDE)</w:t>
      </w:r>
      <w:sdt>
        <w:sdtPr>
          <w:rPr>
            <w:rFonts w:ascii="Times New Roman" w:eastAsia="Times New Roman" w:hAnsi="Times New Roman"/>
            <w:szCs w:val="24"/>
            <w:lang w:val="pt-PT" w:eastAsia="pt-BR"/>
          </w:rPr>
          <w:id w:val="2725759"/>
          <w:citation/>
        </w:sdtPr>
        <w:sdtContent>
          <w:r w:rsidR="0032533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begin"/>
          </w:r>
          <w:r w:rsidR="00325330">
            <w:rPr>
              <w:rFonts w:ascii="Times New Roman" w:eastAsia="Times New Roman" w:hAnsi="Times New Roman"/>
              <w:szCs w:val="24"/>
              <w:lang w:eastAsia="pt-BR"/>
            </w:rPr>
            <w:instrText xml:space="preserve"> CITATION Már85 \l 1046  </w:instrText>
          </w:r>
          <w:r w:rsidR="0032533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separate"/>
          </w:r>
          <w:r w:rsidR="00325330">
            <w:rPr>
              <w:rFonts w:ascii="Times New Roman" w:eastAsia="Times New Roman" w:hAnsi="Times New Roman"/>
              <w:noProof/>
              <w:szCs w:val="24"/>
              <w:lang w:eastAsia="pt-BR"/>
            </w:rPr>
            <w:t xml:space="preserve"> </w:t>
          </w:r>
          <w:r w:rsidR="00325330" w:rsidRPr="00325330">
            <w:rPr>
              <w:rFonts w:ascii="Times New Roman" w:eastAsia="Times New Roman" w:hAnsi="Times New Roman"/>
              <w:noProof/>
              <w:szCs w:val="24"/>
              <w:lang w:eastAsia="pt-BR"/>
            </w:rPr>
            <w:t>[1]</w:t>
          </w:r>
          <w:r w:rsidR="0032533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end"/>
          </w:r>
        </w:sdtContent>
      </w:sdt>
      <w:r w:rsidRPr="00C97238">
        <w:rPr>
          <w:rFonts w:ascii="Times New Roman" w:eastAsia="Times New Roman" w:hAnsi="Times New Roman"/>
          <w:color w:val="FF0000"/>
          <w:szCs w:val="24"/>
          <w:lang w:val="pt-PT" w:eastAsia="pt-BR"/>
        </w:rPr>
        <w:t>,</w:t>
      </w:r>
      <w:r>
        <w:rPr>
          <w:rFonts w:ascii="Times New Roman" w:eastAsia="Times New Roman" w:hAnsi="Times New Roman"/>
          <w:szCs w:val="24"/>
          <w:lang w:val="pt-PT" w:eastAsia="pt-BR"/>
        </w:rPr>
        <w:t xml:space="preserve"> onde a única variável estocástica é a vazão afluente das hidrelétricas. A produção eólica é modelada de maneira determinística com base na expectativa de geração desta fonte. </w:t>
      </w:r>
      <w:r w:rsidR="00B905DB" w:rsidRPr="00B905DB">
        <w:rPr>
          <w:rFonts w:ascii="Times New Roman" w:eastAsia="Times New Roman" w:hAnsi="Times New Roman"/>
          <w:szCs w:val="24"/>
          <w:lang w:val="pt-PT" w:eastAsia="pt-BR"/>
        </w:rPr>
        <w:t>Este trabalho tem como objetivo analisar os impactos no âmbito energético da variabilidade na produção de energia eólica no SEB considerando</w:t>
      </w:r>
      <w:r w:rsidR="00385D70">
        <w:rPr>
          <w:rFonts w:ascii="Times New Roman" w:eastAsia="Times New Roman" w:hAnsi="Times New Roman"/>
          <w:szCs w:val="24"/>
          <w:lang w:val="pt-PT" w:eastAsia="pt-BR"/>
        </w:rPr>
        <w:t xml:space="preserve"> diferentes níveis de penetração eólica</w:t>
      </w:r>
      <w:r w:rsidR="00C97238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385D70">
        <w:rPr>
          <w:rFonts w:ascii="Times New Roman" w:eastAsia="Times New Roman" w:hAnsi="Times New Roman"/>
          <w:szCs w:val="24"/>
          <w:lang w:val="pt-PT" w:eastAsia="pt-BR"/>
        </w:rPr>
        <w:t>nos próximos</w:t>
      </w:r>
      <w:r w:rsidR="00B905DB" w:rsidRPr="00B905DB">
        <w:rPr>
          <w:rFonts w:ascii="Times New Roman" w:eastAsia="Times New Roman" w:hAnsi="Times New Roman"/>
          <w:szCs w:val="24"/>
          <w:lang w:val="pt-PT" w:eastAsia="pt-BR"/>
        </w:rPr>
        <w:t xml:space="preserve"> 15 anos. </w:t>
      </w:r>
      <w:r w:rsidR="00385D70">
        <w:rPr>
          <w:rFonts w:ascii="Times New Roman" w:eastAsia="Times New Roman" w:hAnsi="Times New Roman"/>
          <w:szCs w:val="24"/>
          <w:lang w:val="pt-PT" w:eastAsia="pt-BR"/>
        </w:rPr>
        <w:t xml:space="preserve">Foi utilizado o modelo </w:t>
      </w:r>
      <w:r w:rsidR="00EB252B" w:rsidRPr="002B789B">
        <w:rPr>
          <w:rFonts w:ascii="Times New Roman" w:eastAsia="Times New Roman" w:hAnsi="Times New Roman"/>
          <w:i/>
          <w:szCs w:val="24"/>
          <w:lang w:eastAsia="pt-BR"/>
        </w:rPr>
        <w:t>Stochastic Dual Dynamic Programming</w:t>
      </w:r>
      <w:r w:rsidR="00EB252B" w:rsidRPr="00B905DB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EB252B">
        <w:rPr>
          <w:rFonts w:ascii="Times New Roman" w:eastAsia="Times New Roman" w:hAnsi="Times New Roman"/>
          <w:szCs w:val="24"/>
          <w:lang w:val="pt-PT" w:eastAsia="pt-BR"/>
        </w:rPr>
        <w:t>(</w:t>
      </w:r>
      <w:r w:rsidR="00B905DB" w:rsidRPr="00B905DB">
        <w:rPr>
          <w:rFonts w:ascii="Times New Roman" w:eastAsia="Times New Roman" w:hAnsi="Times New Roman"/>
          <w:szCs w:val="24"/>
          <w:lang w:val="pt-PT" w:eastAsia="pt-BR"/>
        </w:rPr>
        <w:t>SDDP</w:t>
      </w:r>
      <w:r w:rsidR="00EB252B">
        <w:rPr>
          <w:rFonts w:ascii="Times New Roman" w:eastAsia="Times New Roman" w:hAnsi="Times New Roman"/>
          <w:szCs w:val="24"/>
          <w:lang w:val="pt-PT" w:eastAsia="pt-BR"/>
        </w:rPr>
        <w:t>)</w:t>
      </w:r>
      <w:r w:rsidR="00B905DB" w:rsidRPr="00B905DB">
        <w:rPr>
          <w:rFonts w:ascii="Times New Roman" w:eastAsia="Times New Roman" w:hAnsi="Times New Roman"/>
          <w:szCs w:val="24"/>
          <w:lang w:val="pt-PT" w:eastAsia="pt-BR"/>
        </w:rPr>
        <w:t xml:space="preserve">, desenvolvido pela empresa de consultoria PSR, </w:t>
      </w:r>
      <w:r w:rsidR="00FD6FC6">
        <w:rPr>
          <w:rFonts w:ascii="Times New Roman" w:eastAsia="Times New Roman" w:hAnsi="Times New Roman"/>
          <w:szCs w:val="24"/>
          <w:lang w:val="pt-PT" w:eastAsia="pt-BR"/>
        </w:rPr>
        <w:t xml:space="preserve">que </w:t>
      </w:r>
      <w:r w:rsidR="00C97238">
        <w:rPr>
          <w:rFonts w:ascii="Times New Roman" w:eastAsia="Times New Roman" w:hAnsi="Times New Roman"/>
          <w:szCs w:val="24"/>
          <w:lang w:val="pt-PT" w:eastAsia="pt-BR"/>
        </w:rPr>
        <w:t>é capaz de considerar</w:t>
      </w:r>
      <w:r w:rsidR="00B905DB" w:rsidRPr="00B905DB">
        <w:rPr>
          <w:rFonts w:ascii="Times New Roman" w:eastAsia="Times New Roman" w:hAnsi="Times New Roman"/>
          <w:szCs w:val="24"/>
          <w:lang w:val="pt-PT" w:eastAsia="pt-BR"/>
        </w:rPr>
        <w:t xml:space="preserve"> incerteza na produção eólica e nas vazões. </w:t>
      </w:r>
      <w:r w:rsidR="00385D70">
        <w:rPr>
          <w:rFonts w:ascii="Times New Roman" w:eastAsia="Times New Roman" w:hAnsi="Times New Roman"/>
          <w:szCs w:val="24"/>
          <w:lang w:val="pt-PT" w:eastAsia="pt-BR"/>
        </w:rPr>
        <w:t xml:space="preserve">O Capítulo 2 apresenta a metodologia, o Capítulo 3 o estudo de caso para a simulação do SEB de 2016 a 2030, o Capitulo 4 os resultados e o Capítulo 5 </w:t>
      </w:r>
      <w:r w:rsidR="00C97238">
        <w:rPr>
          <w:rFonts w:ascii="Times New Roman" w:eastAsia="Times New Roman" w:hAnsi="Times New Roman"/>
          <w:szCs w:val="24"/>
          <w:lang w:val="pt-PT" w:eastAsia="pt-BR"/>
        </w:rPr>
        <w:t>a conclusão.</w:t>
      </w:r>
    </w:p>
    <w:p w:rsidR="005200B1" w:rsidRPr="005200B1" w:rsidRDefault="00597B58" w:rsidP="002113B0">
      <w:pPr>
        <w:pStyle w:val="Ttulo1"/>
        <w:numPr>
          <w:ilvl w:val="0"/>
          <w:numId w:val="6"/>
        </w:numPr>
        <w:tabs>
          <w:tab w:val="left" w:pos="567"/>
        </w:tabs>
        <w:spacing w:before="120" w:after="120" w:line="360" w:lineRule="auto"/>
        <w:ind w:left="357" w:hanging="357"/>
      </w:pPr>
      <w:r w:rsidRPr="00597B58">
        <w:rPr>
          <w:rFonts w:ascii="Times New Roman" w:hAnsi="Times New Roman"/>
          <w:lang w:val="pt-BR"/>
        </w:rPr>
        <w:t>Metodologia</w:t>
      </w:r>
    </w:p>
    <w:p w:rsidR="00597B58" w:rsidRPr="002113B0" w:rsidRDefault="00597B58" w:rsidP="000D5AB6">
      <w:pPr>
        <w:pStyle w:val="Ttulo1"/>
        <w:numPr>
          <w:ilvl w:val="1"/>
          <w:numId w:val="6"/>
        </w:numPr>
        <w:tabs>
          <w:tab w:val="left" w:pos="567"/>
        </w:tabs>
        <w:spacing w:before="120" w:after="120" w:line="360" w:lineRule="auto"/>
        <w:rPr>
          <w:rFonts w:ascii="Times New Roman" w:hAnsi="Times New Roman"/>
          <w:lang w:val="pt-BR"/>
        </w:rPr>
      </w:pPr>
      <w:r w:rsidRPr="002113B0">
        <w:rPr>
          <w:rFonts w:ascii="Times New Roman" w:hAnsi="Times New Roman"/>
          <w:lang w:val="pt-BR"/>
        </w:rPr>
        <w:t>CENÁRIOS DE GERAÇÃO EÓLICA</w:t>
      </w:r>
    </w:p>
    <w:p w:rsidR="00597B58" w:rsidRDefault="00597B58" w:rsidP="00597B58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597B58">
        <w:rPr>
          <w:rFonts w:ascii="Times New Roman" w:eastAsia="Times New Roman" w:hAnsi="Times New Roman"/>
          <w:szCs w:val="24"/>
          <w:lang w:val="pt-PT" w:eastAsia="pt-BR"/>
        </w:rPr>
        <w:t>Os cenários (ou séries) de geração eólica utilizados nas simulações deste trabalho foram feitos a partir de dados de medição de ventos e tratados com métodos matemáticos, probabilísticos e temporais p</w:t>
      </w:r>
      <w:r>
        <w:rPr>
          <w:rFonts w:ascii="Times New Roman" w:eastAsia="Times New Roman" w:hAnsi="Times New Roman"/>
          <w:szCs w:val="24"/>
          <w:lang w:val="pt-PT" w:eastAsia="pt-BR"/>
        </w:rPr>
        <w:t>ela</w:t>
      </w:r>
      <w:r w:rsidRPr="00597B58">
        <w:rPr>
          <w:rFonts w:ascii="Times New Roman" w:eastAsia="Times New Roman" w:hAnsi="Times New Roman"/>
          <w:szCs w:val="24"/>
          <w:lang w:val="pt-PT" w:eastAsia="pt-BR"/>
        </w:rPr>
        <w:t xml:space="preserve"> PSR. Este trabalho não tem como objetivo focar no método de criação destes cenários, mas na análise da modelagem do sistema com a inserção dos cenários, portanto, para obter mais informações sobre a metodologia utilizada para a criação destes cenários consulte</w:t>
      </w:r>
      <w:sdt>
        <w:sdtPr>
          <w:rPr>
            <w:rFonts w:ascii="Times New Roman" w:eastAsia="Times New Roman" w:hAnsi="Times New Roman"/>
            <w:szCs w:val="24"/>
            <w:lang w:val="pt-PT" w:eastAsia="pt-BR"/>
          </w:rPr>
          <w:id w:val="13669869"/>
          <w:citation/>
        </w:sdtPr>
        <w:sdtContent>
          <w:r w:rsidR="007514BF" w:rsidRPr="00597B58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begin"/>
          </w:r>
          <w:r w:rsidRPr="00597B58">
            <w:rPr>
              <w:rFonts w:ascii="Times New Roman" w:eastAsia="Times New Roman" w:hAnsi="Times New Roman"/>
              <w:szCs w:val="24"/>
              <w:lang w:val="pt-PT" w:eastAsia="pt-BR"/>
            </w:rPr>
            <w:instrText xml:space="preserve"> CITATION artigopsr \l 1046  </w:instrText>
          </w:r>
          <w:r w:rsidR="007514BF" w:rsidRPr="00597B58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separate"/>
          </w:r>
          <w:r w:rsidR="00222918">
            <w:rPr>
              <w:rFonts w:ascii="Times New Roman" w:eastAsia="Times New Roman" w:hAnsi="Times New Roman"/>
              <w:noProof/>
              <w:szCs w:val="24"/>
              <w:lang w:val="pt-PT" w:eastAsia="pt-BR"/>
            </w:rPr>
            <w:t xml:space="preserve"> </w:t>
          </w:r>
          <w:r w:rsidR="00222918" w:rsidRPr="00222918">
            <w:rPr>
              <w:rFonts w:ascii="Times New Roman" w:eastAsia="Times New Roman" w:hAnsi="Times New Roman"/>
              <w:noProof/>
              <w:szCs w:val="24"/>
              <w:lang w:val="pt-PT" w:eastAsia="pt-BR"/>
            </w:rPr>
            <w:t>[2]</w:t>
          </w:r>
          <w:r w:rsidR="007514BF" w:rsidRPr="00597B58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end"/>
          </w:r>
        </w:sdtContent>
      </w:sdt>
      <w:r w:rsidRPr="00597B58">
        <w:rPr>
          <w:rFonts w:ascii="Times New Roman" w:eastAsia="Times New Roman" w:hAnsi="Times New Roman"/>
          <w:szCs w:val="24"/>
          <w:lang w:val="pt-PT" w:eastAsia="pt-BR"/>
        </w:rPr>
        <w:t>.</w:t>
      </w:r>
    </w:p>
    <w:p w:rsidR="001C1989" w:rsidRDefault="00597B58" w:rsidP="00067227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Os cenários utilizados são referentes a 4 pontos de medição que representam 4 bacias de ventos no Brasil situadas nos seguintes estados: Rio Grande do Sul, Bahia, Ceará e Rio Grande do Norte. As séries de geração eólica foram criadas, portanto, para estes 4 estados. 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 xml:space="preserve">No total foram </w:t>
      </w:r>
      <w:r w:rsidR="001C1989">
        <w:rPr>
          <w:rFonts w:ascii="Times New Roman" w:eastAsia="Times New Roman" w:hAnsi="Times New Roman"/>
          <w:szCs w:val="24"/>
          <w:lang w:val="pt-PT" w:eastAsia="pt-BR"/>
        </w:rPr>
        <w:t xml:space="preserve">utilizados 2 conjuntos de 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 xml:space="preserve">20 </w:t>
      </w:r>
      <w:r w:rsidR="001C1989">
        <w:rPr>
          <w:rFonts w:ascii="Times New Roman" w:eastAsia="Times New Roman" w:hAnsi="Times New Roman"/>
          <w:szCs w:val="24"/>
          <w:lang w:val="pt-PT" w:eastAsia="pt-BR"/>
        </w:rPr>
        <w:t xml:space="preserve">cenários para as 4 bacias: </w:t>
      </w:r>
    </w:p>
    <w:p w:rsidR="001C1989" w:rsidRDefault="001C1989" w:rsidP="00067227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1C1989">
        <w:rPr>
          <w:rFonts w:ascii="Times New Roman" w:eastAsia="Times New Roman" w:hAnsi="Times New Roman"/>
          <w:b/>
          <w:szCs w:val="24"/>
          <w:lang w:val="pt-PT" w:eastAsia="pt-BR"/>
        </w:rPr>
        <w:t>Conjunto 1-</w:t>
      </w:r>
      <w:r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 xml:space="preserve">20 cenários sintéticos equiprováveis 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 xml:space="preserve">criados 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>para cada uma d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>as 4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 xml:space="preserve"> bacias, ou seja, 20 cenários que representam as características sazonais do Rio Grande do Sul, 20 cenários que representam as características sazonais da Bahia, etc. </w:t>
      </w:r>
    </w:p>
    <w:p w:rsidR="001C1989" w:rsidRDefault="001C1989" w:rsidP="00067227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1C1989">
        <w:rPr>
          <w:rFonts w:ascii="Times New Roman" w:eastAsia="Times New Roman" w:hAnsi="Times New Roman"/>
          <w:b/>
          <w:szCs w:val="24"/>
          <w:lang w:val="pt-PT" w:eastAsia="pt-BR"/>
        </w:rPr>
        <w:t>Conjunto 2-</w:t>
      </w:r>
      <w:r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B678C2">
        <w:rPr>
          <w:rFonts w:ascii="Times New Roman" w:eastAsia="Times New Roman" w:hAnsi="Times New Roman"/>
          <w:szCs w:val="24"/>
          <w:lang w:val="pt-PT" w:eastAsia="pt-BR"/>
        </w:rPr>
        <w:t>A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t>ume</w:t>
      </w:r>
      <w:r w:rsidR="00B678C2">
        <w:rPr>
          <w:rFonts w:ascii="Times New Roman" w:eastAsia="Times New Roman" w:hAnsi="Times New Roman"/>
          <w:szCs w:val="24"/>
          <w:lang w:val="pt-PT" w:eastAsia="pt-BR"/>
        </w:rPr>
        <w:t>nto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B678C2">
        <w:rPr>
          <w:rFonts w:ascii="Times New Roman" w:eastAsia="Times New Roman" w:hAnsi="Times New Roman"/>
          <w:szCs w:val="24"/>
          <w:lang w:val="pt-PT" w:eastAsia="pt-BR"/>
        </w:rPr>
        <w:t>d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t>a variabilidade d</w:t>
      </w:r>
      <w:r w:rsidR="00B678C2">
        <w:rPr>
          <w:rFonts w:ascii="Times New Roman" w:eastAsia="Times New Roman" w:hAnsi="Times New Roman"/>
          <w:szCs w:val="24"/>
          <w:lang w:val="pt-PT" w:eastAsia="pt-BR"/>
        </w:rPr>
        <w:t>os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 cenários</w:t>
      </w:r>
      <w:r w:rsidR="00B678C2">
        <w:rPr>
          <w:rFonts w:ascii="Times New Roman" w:eastAsia="Times New Roman" w:hAnsi="Times New Roman"/>
          <w:szCs w:val="24"/>
          <w:lang w:val="pt-PT" w:eastAsia="pt-BR"/>
        </w:rPr>
        <w:t xml:space="preserve"> originais (conjunto 1)</w:t>
      </w:r>
      <w:r w:rsidRPr="00B678C2">
        <w:rPr>
          <w:rFonts w:ascii="Times New Roman" w:eastAsia="Times New Roman" w:hAnsi="Times New Roman"/>
          <w:szCs w:val="24"/>
          <w:lang w:val="pt-PT" w:eastAsia="pt-BR"/>
        </w:rPr>
        <w:t>.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 Para isto, foi utilizado um critério para alterar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 xml:space="preserve"> os desvios padrões mensais dos cenários 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baseado no coeficiente de variação mensal 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>destes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FE1E81">
        <w:rPr>
          <w:rFonts w:ascii="Times New Roman" w:eastAsia="Times New Roman" w:hAnsi="Times New Roman"/>
          <w:szCs w:val="24"/>
          <w:lang w:val="pt-PT" w:eastAsia="pt-BR"/>
        </w:rPr>
        <w:t>(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)</m:t>
        </m:r>
      </m:oMath>
      <w:r w:rsidRPr="00067227">
        <w:rPr>
          <w:rFonts w:ascii="Times New Roman" w:eastAsia="Times New Roman" w:hAnsi="Times New Roman"/>
          <w:szCs w:val="24"/>
          <w:lang w:val="pt-PT" w:eastAsia="pt-BR"/>
        </w:rPr>
        <w:t>. A metodologia consiste em aplicar a distribuição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 xml:space="preserve"> normal padronizada por mês nos cenários </w:t>
      </w:r>
      <w:r w:rsidRPr="00067227">
        <w:rPr>
          <w:rFonts w:ascii="Times New Roman" w:eastAsia="Times New Roman" w:hAnsi="Times New Roman"/>
          <w:szCs w:val="24"/>
          <w:lang w:val="pt-PT" w:eastAsia="pt-BR"/>
        </w:rPr>
        <w:lastRenderedPageBreak/>
        <w:t xml:space="preserve">originais e depois aplicar novos desvios padrões de acordo com os valores de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 xml:space="preserve"> </m:t>
        </m:r>
      </m:oMath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desejados. Foi escolhido o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>
        <w:rPr>
          <w:rFonts w:ascii="Times New Roman" w:eastAsia="Times New Roman" w:hAnsi="Times New Roman"/>
          <w:szCs w:val="24"/>
          <w:lang w:val="pt-PT" w:eastAsia="pt-BR"/>
        </w:rPr>
        <w:t>.</w:t>
      </w:r>
    </w:p>
    <w:p w:rsidR="00B14077" w:rsidRPr="00067227" w:rsidRDefault="00B14077" w:rsidP="00067227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067227">
        <w:rPr>
          <w:rFonts w:ascii="Times New Roman" w:eastAsia="Times New Roman" w:hAnsi="Times New Roman"/>
          <w:szCs w:val="24"/>
          <w:lang w:val="pt-PT" w:eastAsia="pt-BR"/>
        </w:rPr>
        <w:t xml:space="preserve">As usinas eólicas situadas nos demais estados do país utilizam um dos quatro conjuntos de séries criadas, onde para cada estado foi escolhida a série criada a partir da região </w:t>
      </w:r>
      <w:r w:rsidR="00FE1E81">
        <w:rPr>
          <w:rFonts w:ascii="Times New Roman" w:eastAsia="Times New Roman" w:hAnsi="Times New Roman"/>
          <w:szCs w:val="24"/>
          <w:lang w:val="pt-PT" w:eastAsia="pt-BR"/>
        </w:rPr>
        <w:t>que apresenta maior proximidade. Por exemplo: usinas situadas em Pernambuco utilizam os cenários característicos do Rio Grande do Norte.</w:t>
      </w:r>
    </w:p>
    <w:p w:rsidR="00B14077" w:rsidRPr="00067227" w:rsidRDefault="001C1989" w:rsidP="00067227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>
        <w:rPr>
          <w:rFonts w:ascii="Times New Roman" w:eastAsia="Times New Roman" w:hAnsi="Times New Roman"/>
          <w:szCs w:val="24"/>
          <w:lang w:val="pt-PT" w:eastAsia="pt-BR"/>
        </w:rPr>
        <w:t>A verificação da representação d</w:t>
      </w:r>
      <w:r w:rsidR="00AB6236" w:rsidRPr="00067227">
        <w:rPr>
          <w:rFonts w:ascii="Times New Roman" w:eastAsia="Times New Roman" w:hAnsi="Times New Roman"/>
          <w:szCs w:val="24"/>
          <w:lang w:val="pt-PT" w:eastAsia="pt-BR"/>
        </w:rPr>
        <w:t xml:space="preserve">a variabilidade eólica </w:t>
      </w:r>
      <w:r>
        <w:rPr>
          <w:rFonts w:ascii="Times New Roman" w:eastAsia="Times New Roman" w:hAnsi="Times New Roman"/>
          <w:szCs w:val="24"/>
          <w:lang w:val="pt-PT" w:eastAsia="pt-BR"/>
        </w:rPr>
        <w:t>dos cenários, foi feita através da comparação entre os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 xml:space="preserve"> 2 conjuntos de</w:t>
      </w:r>
      <w:r>
        <w:rPr>
          <w:rFonts w:ascii="Times New Roman" w:eastAsia="Times New Roman" w:hAnsi="Times New Roman"/>
          <w:szCs w:val="24"/>
          <w:lang w:val="pt-PT" w:eastAsia="pt-BR"/>
        </w:rPr>
        <w:t xml:space="preserve"> cenários utilizados e os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 xml:space="preserve"> dados de geração eólica referentes a 2014 e 2015 disponibilizados pelo 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>Operador Nacional do Sistema Elétrico (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>ONS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>)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 xml:space="preserve"> no “Boleti</w:t>
      </w:r>
      <w:r>
        <w:rPr>
          <w:rFonts w:ascii="Times New Roman" w:eastAsia="Times New Roman" w:hAnsi="Times New Roman"/>
          <w:szCs w:val="24"/>
          <w:lang w:val="pt-PT" w:eastAsia="pt-BR"/>
        </w:rPr>
        <w:t>m Mensal de Geração Eólica”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 xml:space="preserve">. Estes dados também mostram a variabilidade eólica ocorrida nestes anos, e </w:t>
      </w:r>
      <w:r w:rsidR="00D53423">
        <w:rPr>
          <w:rFonts w:ascii="Times New Roman" w:eastAsia="Times New Roman" w:hAnsi="Times New Roman"/>
          <w:szCs w:val="24"/>
          <w:lang w:val="pt-PT" w:eastAsia="pt-BR"/>
        </w:rPr>
        <w:t>est</w:t>
      </w:r>
      <w:r w:rsidR="00B14077" w:rsidRPr="00067227">
        <w:rPr>
          <w:rFonts w:ascii="Times New Roman" w:eastAsia="Times New Roman" w:hAnsi="Times New Roman"/>
          <w:szCs w:val="24"/>
          <w:lang w:val="pt-PT" w:eastAsia="pt-BR"/>
        </w:rPr>
        <w:t>a comparação pode ser vista</w:t>
      </w:r>
      <w:r w:rsidR="00067227" w:rsidRPr="00067227">
        <w:rPr>
          <w:rFonts w:ascii="Times New Roman" w:eastAsia="Times New Roman" w:hAnsi="Times New Roman"/>
          <w:szCs w:val="24"/>
          <w:lang w:val="pt-PT" w:eastAsia="pt-BR"/>
        </w:rPr>
        <w:t xml:space="preserve"> através da</w:t>
      </w:r>
      <w:r w:rsidR="00B14077" w:rsidRPr="00883418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fldSimple w:instr=" REF _Ref450119191 \h  \* MERGEFORMAT ">
        <w:r w:rsidR="00883418" w:rsidRPr="00883418">
          <w:rPr>
            <w:rFonts w:ascii="Times New Roman" w:hAnsi="Times New Roman"/>
            <w:szCs w:val="24"/>
          </w:rPr>
          <w:t>Figura 1</w:t>
        </w:r>
      </w:fldSimple>
      <w:r w:rsidR="00883418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883418" w:rsidRPr="00883418">
        <w:rPr>
          <w:rFonts w:ascii="Times New Roman" w:eastAsia="Times New Roman" w:hAnsi="Times New Roman"/>
          <w:szCs w:val="24"/>
          <w:lang w:val="pt-PT" w:eastAsia="pt-BR"/>
        </w:rPr>
        <w:t xml:space="preserve">e </w:t>
      </w:r>
      <w:fldSimple w:instr=" REF _Ref450119202 \h  \* MERGEFORMAT ">
        <w:r w:rsidR="00883418" w:rsidRPr="00883418">
          <w:rPr>
            <w:rFonts w:ascii="Times New Roman" w:hAnsi="Times New Roman"/>
            <w:szCs w:val="24"/>
          </w:rPr>
          <w:t>Figura 2</w:t>
        </w:r>
      </w:fldSimple>
      <w:r w:rsidR="00883418" w:rsidRPr="00883418">
        <w:rPr>
          <w:rFonts w:ascii="Times New Roman" w:eastAsia="Times New Roman" w:hAnsi="Times New Roman"/>
          <w:szCs w:val="24"/>
          <w:lang w:val="pt-PT" w:eastAsia="pt-BR"/>
        </w:rPr>
        <w:t>.</w:t>
      </w:r>
      <w:r w:rsidR="00B678C2">
        <w:rPr>
          <w:rFonts w:ascii="Times New Roman" w:eastAsia="Times New Roman" w:hAnsi="Times New Roman"/>
          <w:szCs w:val="24"/>
          <w:lang w:val="pt-PT" w:eastAsia="pt-BR"/>
        </w:rPr>
        <w:t xml:space="preserve"> Percebe-se que o conjunto 2 parece representar melhor a variabilidade ocorrida nos últimos 2 anos.</w:t>
      </w:r>
    </w:p>
    <w:p w:rsidR="00883418" w:rsidRDefault="006076DE" w:rsidP="00883418">
      <w:pPr>
        <w:pStyle w:val="TCCFigura"/>
        <w:keepNext/>
      </w:pPr>
      <w:r w:rsidRPr="006076DE">
        <w:rPr>
          <w:noProof/>
          <w:lang w:eastAsia="pt-BR"/>
        </w:rPr>
        <w:drawing>
          <wp:inline distT="0" distB="0" distL="0" distR="0">
            <wp:extent cx="5599038" cy="3600000"/>
            <wp:effectExtent l="0" t="0" r="0" b="0"/>
            <wp:docPr id="3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77" w:rsidRPr="00883418" w:rsidRDefault="00883418" w:rsidP="00883418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2" w:name="_Ref450119191"/>
      <w:r w:rsidRPr="00883418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B60C82">
        <w:rPr>
          <w:rFonts w:ascii="Times New Roman" w:hAnsi="Times New Roman"/>
          <w:b w:val="0"/>
          <w:noProof/>
          <w:color w:val="auto"/>
          <w:sz w:val="20"/>
          <w:szCs w:val="20"/>
        </w:rPr>
        <w:t>1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2"/>
      <w:r w:rsidRPr="00883418">
        <w:rPr>
          <w:rFonts w:ascii="Times New Roman" w:hAnsi="Times New Roman"/>
          <w:b w:val="0"/>
          <w:color w:val="auto"/>
          <w:sz w:val="20"/>
          <w:szCs w:val="20"/>
        </w:rPr>
        <w:t xml:space="preserve">- Comparação entre geração verificada pelo ONS em 2014 com os cenários de geração eólica </w:t>
      </w:r>
      <w:r w:rsidR="00E84191">
        <w:rPr>
          <w:rFonts w:ascii="Times New Roman" w:hAnsi="Times New Roman"/>
          <w:b w:val="0"/>
          <w:color w:val="auto"/>
          <w:sz w:val="20"/>
          <w:szCs w:val="20"/>
        </w:rPr>
        <w:t xml:space="preserve">(Conjunto 1) </w:t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t>utilizados para o RS, BA, CE e RN.</w:t>
      </w:r>
    </w:p>
    <w:p w:rsidR="00883418" w:rsidRDefault="006076DE" w:rsidP="00883418">
      <w:pPr>
        <w:pStyle w:val="TCCFigura"/>
        <w:keepNext/>
      </w:pPr>
      <w:r w:rsidRPr="006076DE">
        <w:rPr>
          <w:noProof/>
          <w:lang w:eastAsia="pt-BR"/>
        </w:rPr>
        <w:lastRenderedPageBreak/>
        <w:drawing>
          <wp:inline distT="0" distB="0" distL="0" distR="0">
            <wp:extent cx="5573077" cy="3600000"/>
            <wp:effectExtent l="0" t="0" r="0" b="0"/>
            <wp:docPr id="2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77" w:rsidRPr="006C5AED" w:rsidRDefault="00883418" w:rsidP="00883418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3" w:name="_Ref450119202"/>
      <w:r w:rsidRPr="00883418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B60C82">
        <w:rPr>
          <w:rFonts w:ascii="Times New Roman" w:hAnsi="Times New Roman"/>
          <w:b w:val="0"/>
          <w:noProof/>
          <w:color w:val="auto"/>
          <w:sz w:val="20"/>
          <w:szCs w:val="20"/>
        </w:rPr>
        <w:t>2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3"/>
      <w:r w:rsidRPr="00883418">
        <w:rPr>
          <w:rFonts w:ascii="Times New Roman" w:hAnsi="Times New Roman"/>
          <w:b w:val="0"/>
          <w:color w:val="auto"/>
          <w:sz w:val="20"/>
          <w:szCs w:val="20"/>
        </w:rPr>
        <w:t>- Comparação entre geração verificada pelo ONS em 2014 com os cenários com coeficiente de variação mensal de 40%</w:t>
      </w:r>
      <w:r w:rsidR="00E84191">
        <w:rPr>
          <w:rFonts w:ascii="Times New Roman" w:hAnsi="Times New Roman"/>
          <w:b w:val="0"/>
          <w:color w:val="auto"/>
          <w:sz w:val="20"/>
          <w:szCs w:val="20"/>
        </w:rPr>
        <w:t xml:space="preserve"> (Conjunto 2)</w:t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t xml:space="preserve"> para o RS, BA, CE e RN.</w:t>
      </w:r>
    </w:p>
    <w:p w:rsidR="00B14077" w:rsidRPr="002113B0" w:rsidRDefault="00B14077" w:rsidP="002113B0">
      <w:pPr>
        <w:pStyle w:val="Ttulo1"/>
        <w:numPr>
          <w:ilvl w:val="0"/>
          <w:numId w:val="6"/>
        </w:numPr>
        <w:tabs>
          <w:tab w:val="left" w:pos="567"/>
        </w:tabs>
        <w:spacing w:before="120" w:after="120" w:line="360" w:lineRule="auto"/>
        <w:ind w:left="357" w:hanging="357"/>
        <w:rPr>
          <w:rFonts w:ascii="Times New Roman" w:hAnsi="Times New Roman"/>
          <w:lang w:val="pt-BR"/>
        </w:rPr>
      </w:pPr>
      <w:bookmarkStart w:id="4" w:name="_Ref445064151"/>
      <w:bookmarkStart w:id="5" w:name="_Toc447571920"/>
      <w:r w:rsidRPr="002113B0">
        <w:rPr>
          <w:rFonts w:ascii="Times New Roman" w:hAnsi="Times New Roman"/>
          <w:lang w:val="pt-BR"/>
        </w:rPr>
        <w:t>ESTUDO DE CASO</w:t>
      </w:r>
      <w:bookmarkEnd w:id="4"/>
      <w:bookmarkEnd w:id="5"/>
    </w:p>
    <w:p w:rsidR="00FE1E81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>Para os estudos realizados neste trabalho foram construídos dois casos. O Caso 1 conta com a expansão prevista para o setor elétrico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 xml:space="preserve"> de acordo com o Plano Decenal de Energia - PDE 2014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, considerando o mix de fontes de energia previsto, com a entrada de aproximadamente 20GW de energia eólica até o final do horizonte de estudo. O Caso 2 é hipotético criado com finalidade de analisar se os impactos são intensificados quando se considera a entrada de larga escala de usinas eólicas no setor, considerando 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 xml:space="preserve">a mesma garantia física em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expansão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>, porém,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somente com 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 xml:space="preserve">entrada de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usinas</w:t>
      </w:r>
      <w:r w:rsidR="00FE1E81">
        <w:rPr>
          <w:rFonts w:ascii="Times New Roman" w:eastAsia="Times New Roman" w:hAnsi="Times New Roman"/>
          <w:szCs w:val="24"/>
          <w:lang w:val="pt-PT" w:eastAsia="pt-BR"/>
        </w:rPr>
        <w:t xml:space="preserve"> de fontes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eólicas e hídricas, contando com a entrada de aproximadamente 35GW de energia eólica até o final do horizonte de estudo. 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Para cada um dos dois casos, foram feitos dois cálculos da política operativa a fim de obter a 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>Função de Custo Futuro (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FCF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>)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para as simulações. A 1ª FCF foi criada a partir da produção eólica determinística</w:t>
      </w:r>
      <w:r w:rsidR="00955FC8">
        <w:rPr>
          <w:rFonts w:ascii="Times New Roman" w:eastAsia="Times New Roman" w:hAnsi="Times New Roman"/>
          <w:szCs w:val="24"/>
          <w:lang w:val="pt-PT" w:eastAsia="pt-BR"/>
        </w:rPr>
        <w:t xml:space="preserve"> (apenas 1 cenário</w:t>
      </w:r>
      <w:r w:rsidR="00FE1E81">
        <w:rPr>
          <w:rFonts w:ascii="Times New Roman" w:eastAsia="Times New Roman" w:hAnsi="Times New Roman"/>
          <w:szCs w:val="24"/>
          <w:lang w:val="pt-PT" w:eastAsia="pt-BR"/>
        </w:rPr>
        <w:t xml:space="preserve"> de geração eólica para cada usina, a média </w:t>
      </w:r>
      <w:r w:rsidR="00F938F9">
        <w:rPr>
          <w:rFonts w:ascii="Times New Roman" w:eastAsia="Times New Roman" w:hAnsi="Times New Roman"/>
          <w:szCs w:val="24"/>
          <w:lang w:val="pt-PT" w:eastAsia="pt-BR"/>
        </w:rPr>
        <w:t xml:space="preserve">mensal </w:t>
      </w:r>
      <w:r w:rsidR="00FE1E81">
        <w:rPr>
          <w:rFonts w:ascii="Times New Roman" w:eastAsia="Times New Roman" w:hAnsi="Times New Roman"/>
          <w:szCs w:val="24"/>
          <w:lang w:val="pt-PT" w:eastAsia="pt-BR"/>
        </w:rPr>
        <w:t>dos cenários utilizados)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e a 2ª FCF foi criada a partir da produção eólica probabilística</w:t>
      </w:r>
      <w:r w:rsidR="00F938F9">
        <w:rPr>
          <w:rFonts w:ascii="Times New Roman" w:eastAsia="Times New Roman" w:hAnsi="Times New Roman"/>
          <w:szCs w:val="24"/>
          <w:lang w:val="pt-PT" w:eastAsia="pt-BR"/>
        </w:rPr>
        <w:t xml:space="preserve"> (considerou-se</w:t>
      </w:r>
      <w:r w:rsidR="00FE1E81">
        <w:rPr>
          <w:rFonts w:ascii="Times New Roman" w:eastAsia="Times New Roman" w:hAnsi="Times New Roman"/>
          <w:szCs w:val="24"/>
          <w:lang w:val="pt-PT" w:eastAsia="pt-BR"/>
        </w:rPr>
        <w:t xml:space="preserve"> os cenários de geração eólica 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 xml:space="preserve">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=40%)</m:t>
        </m:r>
      </m:oMath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. As simulações com alteração na FCF têm o objetivo de analisar o benefício de se incluir a variabilidade eólica no cálculo da política operativa. 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lastRenderedPageBreak/>
        <w:t xml:space="preserve">Para a 1ª FCF, foram feitas três simulações, uma com produção eólica determinística, e duas com variações na produção eólica probabilística. Estas simulações tem o objetivo de analisar o impacto energético da variabilidade da produção eólica no SEB, sendo possível comparar o comportamento de alguns parâmetros do sistema quando não é considerada a variabilidade eólica e quando é considerada a variabilidade eólica. 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Para a 2ª FCF foi feita apenas uma simulação considerando a produção eólica probabilística </w:t>
      </w:r>
      <w:r w:rsidR="00690689">
        <w:rPr>
          <w:rFonts w:ascii="Times New Roman" w:eastAsia="Times New Roman" w:hAnsi="Times New Roman"/>
          <w:szCs w:val="24"/>
          <w:lang w:val="pt-PT" w:eastAsia="pt-BR"/>
        </w:rPr>
        <w:t xml:space="preserve">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Pr="002113B0">
        <w:rPr>
          <w:rFonts w:ascii="Times New Roman" w:eastAsia="Times New Roman" w:hAnsi="Times New Roman"/>
          <w:szCs w:val="24"/>
          <w:lang w:val="pt-PT" w:eastAsia="pt-BR"/>
        </w:rPr>
        <w:t>. Esta simulação para a 2ª FCF quando comparada com a mesma simulação utilizando a 1ª FCF tem o objetivo de analisar as alterações causadas quando se incorpora a variabilidade eólica no cálculo da política operativa.</w:t>
      </w:r>
    </w:p>
    <w:p w:rsidR="00B14077" w:rsidRPr="002113B0" w:rsidRDefault="00B14077" w:rsidP="002113B0">
      <w:pPr>
        <w:pStyle w:val="Ttulo1"/>
        <w:numPr>
          <w:ilvl w:val="1"/>
          <w:numId w:val="6"/>
        </w:numPr>
        <w:tabs>
          <w:tab w:val="left" w:pos="567"/>
        </w:tabs>
        <w:spacing w:before="120" w:after="120" w:line="360" w:lineRule="auto"/>
        <w:rPr>
          <w:rFonts w:ascii="Times New Roman" w:hAnsi="Times New Roman"/>
          <w:lang w:val="pt-BR"/>
        </w:rPr>
      </w:pPr>
      <w:bookmarkStart w:id="6" w:name="_Toc447571922"/>
      <w:r w:rsidRPr="002113B0">
        <w:rPr>
          <w:rFonts w:ascii="Times New Roman" w:hAnsi="Times New Roman"/>
          <w:lang w:val="pt-BR"/>
        </w:rPr>
        <w:t xml:space="preserve">Configuração de oferta </w:t>
      </w:r>
      <w:r w:rsidR="00AD0D49">
        <w:rPr>
          <w:rFonts w:ascii="Times New Roman" w:hAnsi="Times New Roman"/>
          <w:lang w:val="pt-BR"/>
        </w:rPr>
        <w:t>e demanda d</w:t>
      </w:r>
      <w:r w:rsidRPr="002113B0">
        <w:rPr>
          <w:rFonts w:ascii="Times New Roman" w:hAnsi="Times New Roman"/>
          <w:lang w:val="pt-BR"/>
        </w:rPr>
        <w:t>o</w:t>
      </w:r>
      <w:bookmarkEnd w:id="6"/>
      <w:r w:rsidR="00D53423" w:rsidRPr="002113B0">
        <w:rPr>
          <w:rFonts w:ascii="Times New Roman" w:hAnsi="Times New Roman"/>
          <w:lang w:val="pt-BR"/>
        </w:rPr>
        <w:t>s casos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O horizonte de estudo das simulações é de 15 anos, iniciando em setembro de 2015 e finalizando em dezembro de 2030. A configuração de oferta de usinas, para o horizonte de curto prazo (5 primeiros anos) foi baseada no estudo do 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>Plano Mensal da Operação (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PMO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>)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de setembro de 2015</w:t>
      </w:r>
      <w:sdt>
        <w:sdtPr>
          <w:rPr>
            <w:rFonts w:ascii="Times New Roman" w:eastAsia="Times New Roman" w:hAnsi="Times New Roman"/>
            <w:szCs w:val="24"/>
            <w:lang w:val="pt-PT" w:eastAsia="pt-BR"/>
          </w:rPr>
          <w:id w:val="5531204"/>
          <w:citation/>
        </w:sdtPr>
        <w:sdtContent>
          <w:r w:rsidR="007514BF" w:rsidRPr="002113B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begin"/>
          </w:r>
          <w:r w:rsidRPr="002113B0">
            <w:rPr>
              <w:rFonts w:ascii="Times New Roman" w:eastAsia="Times New Roman" w:hAnsi="Times New Roman"/>
              <w:szCs w:val="24"/>
              <w:lang w:val="pt-PT" w:eastAsia="pt-BR"/>
            </w:rPr>
            <w:instrText xml:space="preserve"> CITATION Ope15 \l 1046 </w:instrText>
          </w:r>
          <w:r w:rsidR="007514BF" w:rsidRPr="002113B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separate"/>
          </w:r>
          <w:r w:rsidR="00222918">
            <w:rPr>
              <w:rFonts w:ascii="Times New Roman" w:eastAsia="Times New Roman" w:hAnsi="Times New Roman"/>
              <w:noProof/>
              <w:szCs w:val="24"/>
              <w:lang w:val="pt-PT" w:eastAsia="pt-BR"/>
            </w:rPr>
            <w:t xml:space="preserve"> </w:t>
          </w:r>
          <w:r w:rsidR="00222918" w:rsidRPr="00222918">
            <w:rPr>
              <w:rFonts w:ascii="Times New Roman" w:eastAsia="Times New Roman" w:hAnsi="Times New Roman"/>
              <w:noProof/>
              <w:szCs w:val="24"/>
              <w:lang w:val="pt-PT" w:eastAsia="pt-BR"/>
            </w:rPr>
            <w:t>[3]</w:t>
          </w:r>
          <w:r w:rsidR="007514BF" w:rsidRPr="002113B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end"/>
          </w:r>
        </w:sdtContent>
      </w:sdt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. O médio prazo (o restante dos 10 anos iniciais) foi baseado no PDE 2024 realizado anualmente pela 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>Empresa de Pesquisa Energética (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EPE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>)</w:t>
      </w:r>
      <w:sdt>
        <w:sdtPr>
          <w:rPr>
            <w:rFonts w:ascii="Times New Roman" w:eastAsia="Times New Roman" w:hAnsi="Times New Roman"/>
            <w:szCs w:val="24"/>
            <w:lang w:val="pt-PT" w:eastAsia="pt-BR"/>
          </w:rPr>
          <w:id w:val="5531205"/>
          <w:citation/>
        </w:sdtPr>
        <w:sdtContent>
          <w:r w:rsidR="007514BF" w:rsidRPr="002113B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begin"/>
          </w:r>
          <w:r w:rsidRPr="002113B0">
            <w:rPr>
              <w:rFonts w:ascii="Times New Roman" w:eastAsia="Times New Roman" w:hAnsi="Times New Roman"/>
              <w:szCs w:val="24"/>
              <w:lang w:val="pt-PT" w:eastAsia="pt-BR"/>
            </w:rPr>
            <w:instrText xml:space="preserve"> CITATION EPE15 \l 1046 </w:instrText>
          </w:r>
          <w:r w:rsidR="007514BF" w:rsidRPr="002113B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separate"/>
          </w:r>
          <w:r w:rsidR="00222918">
            <w:rPr>
              <w:rFonts w:ascii="Times New Roman" w:eastAsia="Times New Roman" w:hAnsi="Times New Roman"/>
              <w:noProof/>
              <w:szCs w:val="24"/>
              <w:lang w:val="pt-PT" w:eastAsia="pt-BR"/>
            </w:rPr>
            <w:t xml:space="preserve"> </w:t>
          </w:r>
          <w:r w:rsidR="00222918" w:rsidRPr="00222918">
            <w:rPr>
              <w:rFonts w:ascii="Times New Roman" w:eastAsia="Times New Roman" w:hAnsi="Times New Roman"/>
              <w:noProof/>
              <w:szCs w:val="24"/>
              <w:lang w:val="pt-PT" w:eastAsia="pt-BR"/>
            </w:rPr>
            <w:t>[4]</w:t>
          </w:r>
          <w:r w:rsidR="007514BF" w:rsidRPr="002113B0">
            <w:rPr>
              <w:rFonts w:ascii="Times New Roman" w:eastAsia="Times New Roman" w:hAnsi="Times New Roman"/>
              <w:szCs w:val="24"/>
              <w:lang w:val="pt-PT" w:eastAsia="pt-BR"/>
            </w:rPr>
            <w:fldChar w:fldCharType="end"/>
          </w:r>
        </w:sdtContent>
      </w:sdt>
      <w:r w:rsidRPr="002113B0">
        <w:rPr>
          <w:rFonts w:ascii="Times New Roman" w:eastAsia="Times New Roman" w:hAnsi="Times New Roman"/>
          <w:szCs w:val="24"/>
          <w:lang w:val="pt-PT" w:eastAsia="pt-BR"/>
        </w:rPr>
        <w:t>. E os 5 anos finais foram baseados em premissas</w:t>
      </w:r>
      <w:r w:rsidR="00F938F9">
        <w:rPr>
          <w:rStyle w:val="Refdenotaderodap"/>
          <w:rFonts w:ascii="Times New Roman" w:eastAsia="Times New Roman" w:hAnsi="Times New Roman"/>
          <w:szCs w:val="24"/>
          <w:lang w:val="pt-PT" w:eastAsia="pt-BR"/>
        </w:rPr>
        <w:footnoteReference w:id="1"/>
      </w:r>
      <w:r w:rsidR="00F938F9">
        <w:rPr>
          <w:lang w:val="pt-PT"/>
        </w:rPr>
        <w:t xml:space="preserve">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de ex</w:t>
      </w:r>
      <w:r w:rsidR="00F938F9">
        <w:rPr>
          <w:rFonts w:ascii="Times New Roman" w:eastAsia="Times New Roman" w:hAnsi="Times New Roman"/>
          <w:szCs w:val="24"/>
          <w:lang w:val="pt-PT" w:eastAsia="pt-BR"/>
        </w:rPr>
        <w:t xml:space="preserve">pansão adotadas pela empresa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PSR, uma vez que o estudo da EPE fornece um plano de expansão com horizonte de apenas 10 anos (2014-2024), não abrangendo todo o horizonte de simulação utilizado. 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883418">
        <w:rPr>
          <w:rFonts w:ascii="Times New Roman" w:eastAsia="Times New Roman" w:hAnsi="Times New Roman"/>
          <w:szCs w:val="24"/>
          <w:lang w:val="pt-PT" w:eastAsia="pt-BR"/>
        </w:rPr>
        <w:t>A</w:t>
      </w:r>
      <w:r w:rsidR="00D53423" w:rsidRPr="00883418">
        <w:rPr>
          <w:rFonts w:ascii="Times New Roman" w:eastAsia="Times New Roman" w:hAnsi="Times New Roman"/>
          <w:szCs w:val="24"/>
          <w:lang w:val="pt-PT" w:eastAsia="pt-BR"/>
        </w:rPr>
        <w:t>s</w:t>
      </w:r>
      <w:r w:rsidRPr="00883418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fldSimple w:instr=" REF _Ref450119368 \h  \* MERGEFORMAT ">
        <w:r w:rsidR="00883418" w:rsidRPr="00883418">
          <w:rPr>
            <w:rFonts w:ascii="Times New Roman" w:hAnsi="Times New Roman"/>
            <w:szCs w:val="24"/>
          </w:rPr>
          <w:t>Tabela</w:t>
        </w:r>
        <w:r w:rsidR="003859B7">
          <w:rPr>
            <w:rFonts w:ascii="Times New Roman" w:hAnsi="Times New Roman"/>
            <w:szCs w:val="24"/>
          </w:rPr>
          <w:t>s</w:t>
        </w:r>
        <w:r w:rsidR="00883418" w:rsidRPr="00883418">
          <w:rPr>
            <w:rFonts w:ascii="Times New Roman" w:hAnsi="Times New Roman"/>
            <w:szCs w:val="24"/>
          </w:rPr>
          <w:t xml:space="preserve"> 1</w:t>
        </w:r>
      </w:fldSimple>
      <w:r w:rsidR="00883418" w:rsidRPr="00883418">
        <w:rPr>
          <w:rFonts w:ascii="Times New Roman" w:eastAsia="Times New Roman" w:hAnsi="Times New Roman"/>
          <w:szCs w:val="24"/>
          <w:lang w:val="pt-PT" w:eastAsia="pt-BR"/>
        </w:rPr>
        <w:t xml:space="preserve"> e </w:t>
      </w:r>
      <w:fldSimple w:instr=" REF _Ref450119370 \h  \* MERGEFORMAT ">
        <w:r w:rsidR="00883418" w:rsidRPr="00883418">
          <w:rPr>
            <w:rFonts w:ascii="Times New Roman" w:hAnsi="Times New Roman"/>
            <w:noProof/>
            <w:szCs w:val="24"/>
          </w:rPr>
          <w:t>2</w:t>
        </w:r>
      </w:fldSimple>
      <w:r w:rsidR="00883418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mostra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>m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a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>s contribuições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de cada fonte em porcentagem em relação à capacidade total instalada na matriz, com destaque para as </w:t>
      </w:r>
      <w:r w:rsidR="00C5445A" w:rsidRPr="002113B0">
        <w:rPr>
          <w:rFonts w:ascii="Times New Roman" w:eastAsia="Times New Roman" w:hAnsi="Times New Roman"/>
          <w:szCs w:val="24"/>
          <w:lang w:val="pt-PT" w:eastAsia="pt-BR"/>
        </w:rPr>
        <w:t>contribuições hídricas e eólica para os 2 casos utilizados.</w:t>
      </w:r>
      <w:r w:rsidR="0052341C" w:rsidRPr="0052341C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52341C" w:rsidRPr="002113B0">
        <w:rPr>
          <w:rFonts w:ascii="Times New Roman" w:eastAsia="Times New Roman" w:hAnsi="Times New Roman"/>
          <w:szCs w:val="24"/>
          <w:lang w:val="pt-PT" w:eastAsia="pt-BR"/>
        </w:rPr>
        <w:t xml:space="preserve">A configuração de demanda </w:t>
      </w:r>
      <w:r w:rsidR="0052341C">
        <w:rPr>
          <w:rFonts w:ascii="Times New Roman" w:eastAsia="Times New Roman" w:hAnsi="Times New Roman"/>
          <w:szCs w:val="24"/>
          <w:lang w:val="pt-PT" w:eastAsia="pt-BR"/>
        </w:rPr>
        <w:t xml:space="preserve">utilizada para </w:t>
      </w:r>
      <w:r w:rsidR="0052341C" w:rsidRPr="002113B0">
        <w:rPr>
          <w:rFonts w:ascii="Times New Roman" w:eastAsia="Times New Roman" w:hAnsi="Times New Roman"/>
          <w:szCs w:val="24"/>
          <w:lang w:val="pt-PT" w:eastAsia="pt-BR"/>
        </w:rPr>
        <w:t>os 2 casos pode ser vista através da</w:t>
      </w:r>
      <w:r w:rsidR="0052341C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fldSimple w:instr=" REF _Ref450220769 \h  \* MERGEFORMAT ">
        <w:r w:rsidR="0052341C" w:rsidRPr="003636A0">
          <w:rPr>
            <w:rFonts w:ascii="Times New Roman" w:hAnsi="Times New Roman"/>
            <w:szCs w:val="24"/>
          </w:rPr>
          <w:t>Tabela 3</w:t>
        </w:r>
      </w:fldSimple>
      <w:r w:rsidR="0052341C" w:rsidRPr="003636A0">
        <w:rPr>
          <w:rFonts w:ascii="Times New Roman" w:eastAsia="Times New Roman" w:hAnsi="Times New Roman"/>
          <w:szCs w:val="24"/>
          <w:lang w:val="pt-PT" w:eastAsia="pt-BR"/>
        </w:rPr>
        <w:t>.</w:t>
      </w:r>
    </w:p>
    <w:p w:rsidR="00883418" w:rsidRPr="00883418" w:rsidRDefault="00883418" w:rsidP="00883418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7" w:name="_Ref450119368"/>
      <w:r w:rsidRPr="00883418">
        <w:rPr>
          <w:rFonts w:ascii="Times New Roman" w:hAnsi="Times New Roman"/>
          <w:b w:val="0"/>
          <w:color w:val="auto"/>
          <w:sz w:val="20"/>
          <w:szCs w:val="20"/>
        </w:rPr>
        <w:t xml:space="preserve">Tabela 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instrText xml:space="preserve"> SEQ Tabela \* ARABIC </w:instrTex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3636A0">
        <w:rPr>
          <w:rFonts w:ascii="Times New Roman" w:hAnsi="Times New Roman"/>
          <w:b w:val="0"/>
          <w:noProof/>
          <w:color w:val="auto"/>
          <w:sz w:val="20"/>
          <w:szCs w:val="20"/>
        </w:rPr>
        <w:t>1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7"/>
      <w:r w:rsidRPr="00883418">
        <w:rPr>
          <w:rFonts w:ascii="Times New Roman" w:hAnsi="Times New Roman"/>
          <w:b w:val="0"/>
          <w:color w:val="auto"/>
          <w:sz w:val="20"/>
          <w:szCs w:val="20"/>
        </w:rPr>
        <w:t>- Composição da capacidade instalada por fonte para o caso 1</w:t>
      </w:r>
    </w:p>
    <w:p w:rsidR="00B14077" w:rsidRDefault="00B14077" w:rsidP="00B14077">
      <w:pPr>
        <w:pStyle w:val="TCCFigura"/>
        <w:keepNext/>
      </w:pPr>
      <w:r w:rsidRPr="000D48B3">
        <w:rPr>
          <w:noProof/>
          <w:lang w:eastAsia="pt-BR"/>
        </w:rPr>
        <w:drawing>
          <wp:inline distT="0" distB="0" distL="0" distR="0">
            <wp:extent cx="5022500" cy="1260000"/>
            <wp:effectExtent l="19050" t="0" r="670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5A" w:rsidRPr="00883418" w:rsidRDefault="00C5445A" w:rsidP="00883418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8" w:name="_Ref450119370"/>
      <w:r w:rsidRPr="00883418">
        <w:rPr>
          <w:rFonts w:ascii="Times New Roman" w:hAnsi="Times New Roman"/>
          <w:b w:val="0"/>
          <w:color w:val="auto"/>
          <w:sz w:val="20"/>
          <w:szCs w:val="20"/>
        </w:rPr>
        <w:t xml:space="preserve">Tabela 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instrText xml:space="preserve"> SEQ Tabela \* ARABIC </w:instrTex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3636A0">
        <w:rPr>
          <w:rFonts w:ascii="Times New Roman" w:hAnsi="Times New Roman"/>
          <w:b w:val="0"/>
          <w:noProof/>
          <w:color w:val="auto"/>
          <w:sz w:val="20"/>
          <w:szCs w:val="20"/>
        </w:rPr>
        <w:t>2</w:t>
      </w:r>
      <w:r w:rsidR="007514BF" w:rsidRPr="00883418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8"/>
      <w:r w:rsidR="00883418" w:rsidRPr="00883418">
        <w:rPr>
          <w:rFonts w:ascii="Times New Roman" w:hAnsi="Times New Roman"/>
          <w:b w:val="0"/>
          <w:color w:val="auto"/>
          <w:sz w:val="20"/>
          <w:szCs w:val="20"/>
        </w:rPr>
        <w:t>-</w:t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t xml:space="preserve"> Composição da capacidade instalada por fonte para o caso 2</w:t>
      </w:r>
    </w:p>
    <w:p w:rsidR="005200B1" w:rsidRDefault="005200B1" w:rsidP="00B14077">
      <w:pPr>
        <w:pStyle w:val="TCCFigura"/>
        <w:keepNext/>
      </w:pPr>
      <w:r w:rsidRPr="005200B1">
        <w:rPr>
          <w:noProof/>
          <w:lang w:eastAsia="pt-BR"/>
        </w:rPr>
        <w:lastRenderedPageBreak/>
        <w:drawing>
          <wp:inline distT="0" distB="0" distL="0" distR="0">
            <wp:extent cx="5035333" cy="1260000"/>
            <wp:effectExtent l="19050" t="0" r="0" b="0"/>
            <wp:docPr id="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3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A0" w:rsidRPr="003636A0" w:rsidRDefault="003636A0" w:rsidP="003636A0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9" w:name="_Ref450220769"/>
      <w:r w:rsidRPr="003636A0">
        <w:rPr>
          <w:rFonts w:ascii="Times New Roman" w:hAnsi="Times New Roman"/>
          <w:b w:val="0"/>
          <w:color w:val="auto"/>
          <w:sz w:val="20"/>
          <w:szCs w:val="20"/>
        </w:rPr>
        <w:t xml:space="preserve">Tabela </w:t>
      </w:r>
      <w:r w:rsidR="007514BF" w:rsidRPr="003636A0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3636A0">
        <w:rPr>
          <w:rFonts w:ascii="Times New Roman" w:hAnsi="Times New Roman"/>
          <w:b w:val="0"/>
          <w:color w:val="auto"/>
          <w:sz w:val="20"/>
          <w:szCs w:val="20"/>
        </w:rPr>
        <w:instrText xml:space="preserve"> SEQ Tabela \* ARABIC </w:instrText>
      </w:r>
      <w:r w:rsidR="007514BF" w:rsidRPr="003636A0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Pr="003636A0">
        <w:rPr>
          <w:rFonts w:ascii="Times New Roman" w:hAnsi="Times New Roman"/>
          <w:b w:val="0"/>
          <w:color w:val="auto"/>
          <w:sz w:val="20"/>
          <w:szCs w:val="20"/>
        </w:rPr>
        <w:t>3</w:t>
      </w:r>
      <w:r w:rsidR="007514BF" w:rsidRPr="003636A0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9"/>
      <w:r w:rsidRPr="003636A0">
        <w:rPr>
          <w:rFonts w:ascii="Times New Roman" w:hAnsi="Times New Roman"/>
          <w:b w:val="0"/>
          <w:color w:val="auto"/>
          <w:sz w:val="20"/>
          <w:szCs w:val="20"/>
        </w:rPr>
        <w:t xml:space="preserve">- </w:t>
      </w:r>
      <w:r w:rsidRPr="00883418">
        <w:rPr>
          <w:rFonts w:ascii="Times New Roman" w:hAnsi="Times New Roman"/>
          <w:b w:val="0"/>
          <w:color w:val="auto"/>
          <w:sz w:val="20"/>
          <w:szCs w:val="20"/>
        </w:rPr>
        <w:t>Configuração de demanda dos casos utilizados</w:t>
      </w:r>
    </w:p>
    <w:p w:rsidR="00B14077" w:rsidRPr="000D48B3" w:rsidRDefault="00582F2A" w:rsidP="00B14077">
      <w:pPr>
        <w:pStyle w:val="TCCFigura"/>
        <w:keepNext/>
      </w:pPr>
      <w:r w:rsidRPr="00582F2A">
        <w:rPr>
          <w:noProof/>
          <w:lang w:eastAsia="pt-BR"/>
        </w:rPr>
        <w:drawing>
          <wp:inline distT="0" distB="0" distL="0" distR="0">
            <wp:extent cx="4815429" cy="360000"/>
            <wp:effectExtent l="19050" t="0" r="4221" b="0"/>
            <wp:docPr id="2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2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B6" w:rsidRDefault="000D5AB6" w:rsidP="0052341C">
      <w:pPr>
        <w:pStyle w:val="Ttulo1"/>
        <w:numPr>
          <w:ilvl w:val="0"/>
          <w:numId w:val="6"/>
        </w:numPr>
        <w:tabs>
          <w:tab w:val="left" w:pos="567"/>
        </w:tabs>
        <w:spacing w:after="120" w:line="360" w:lineRule="auto"/>
        <w:ind w:left="357" w:hanging="357"/>
        <w:rPr>
          <w:rFonts w:ascii="Times New Roman" w:hAnsi="Times New Roman"/>
          <w:lang w:val="pt-BR"/>
        </w:rPr>
      </w:pPr>
      <w:bookmarkStart w:id="10" w:name="_Toc447571925"/>
      <w:r>
        <w:rPr>
          <w:rFonts w:ascii="Times New Roman" w:hAnsi="Times New Roman"/>
          <w:lang w:val="pt-BR"/>
        </w:rPr>
        <w:t>Resultados</w:t>
      </w:r>
    </w:p>
    <w:p w:rsidR="00B14077" w:rsidRPr="002113B0" w:rsidRDefault="00B14077" w:rsidP="002113B0">
      <w:pPr>
        <w:pStyle w:val="Ttulo1"/>
        <w:numPr>
          <w:ilvl w:val="1"/>
          <w:numId w:val="6"/>
        </w:numPr>
        <w:tabs>
          <w:tab w:val="left" w:pos="567"/>
        </w:tabs>
        <w:spacing w:before="120" w:after="120" w:line="360" w:lineRule="auto"/>
        <w:rPr>
          <w:rFonts w:ascii="Times New Roman" w:hAnsi="Times New Roman"/>
          <w:lang w:val="pt-BR"/>
        </w:rPr>
      </w:pPr>
      <w:r w:rsidRPr="002113B0">
        <w:rPr>
          <w:rFonts w:ascii="Times New Roman" w:hAnsi="Times New Roman"/>
          <w:lang w:val="pt-BR"/>
        </w:rPr>
        <w:t>Caso 1</w:t>
      </w:r>
      <w:bookmarkEnd w:id="10"/>
    </w:p>
    <w:p w:rsidR="00B14077" w:rsidRPr="002113B0" w:rsidRDefault="001A5A3C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>Foi simulada uma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política operativa utilizando 200 cenários de vazão, e inserindo apenas um cenário de geração eólica (utilizando a média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mensal por bacia) com o objetivo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de obter a FCF de base para as simulações onde foram analisados os impactos da variabilidade eólica, e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ste método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representa a metodologia atual de despachar as usinas no Brasil.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>Após este processo, esta FCF é simulada considerando-se 1200 cenários de vazão e utilizando alterações na produção eólica.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O resultado da comparação entre os CMOs médios anuais resultantes das simulações pode ser visto através da </w:t>
      </w:r>
      <w:fldSimple w:instr=" REF _Ref445052678 \h  \* MERGEFORMAT ">
        <w:r w:rsidR="003636A0" w:rsidRPr="003636A0">
          <w:rPr>
            <w:rFonts w:ascii="Times New Roman" w:eastAsia="Times New Roman" w:hAnsi="Times New Roman"/>
            <w:szCs w:val="24"/>
            <w:lang w:val="pt-PT" w:eastAsia="pt-BR"/>
          </w:rPr>
          <w:t>Figura 3</w:t>
        </w:r>
      </w:fldSimple>
      <w:r w:rsidRPr="002113B0">
        <w:rPr>
          <w:rFonts w:ascii="Times New Roman" w:eastAsia="Times New Roman" w:hAnsi="Times New Roman"/>
          <w:szCs w:val="24"/>
          <w:lang w:val="pt-PT" w:eastAsia="pt-BR"/>
        </w:rPr>
        <w:t>.</w:t>
      </w:r>
    </w:p>
    <w:p w:rsidR="00B14077" w:rsidRPr="000D48B3" w:rsidRDefault="00A11FDF" w:rsidP="00B14077">
      <w:pPr>
        <w:pStyle w:val="TCCFigura"/>
        <w:keepNext/>
      </w:pPr>
      <w:r w:rsidRPr="00A11FDF">
        <w:rPr>
          <w:noProof/>
          <w:lang w:eastAsia="pt-BR"/>
        </w:rPr>
        <w:drawing>
          <wp:inline distT="0" distB="0" distL="0" distR="0">
            <wp:extent cx="6239704" cy="2052000"/>
            <wp:effectExtent l="19050" t="0" r="8696" b="0"/>
            <wp:docPr id="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04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77" w:rsidRPr="000D48B3" w:rsidRDefault="00B14077" w:rsidP="00B61187">
      <w:pPr>
        <w:pStyle w:val="Legenda"/>
        <w:jc w:val="center"/>
      </w:pPr>
      <w:r w:rsidRPr="000D48B3">
        <w:tab/>
      </w:r>
      <w:bookmarkStart w:id="11" w:name="_Ref445052678"/>
      <w:bookmarkStart w:id="12" w:name="_Toc447571972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="00273CA1" w:rsidRPr="00B61187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B60C82">
        <w:rPr>
          <w:rFonts w:ascii="Times New Roman" w:hAnsi="Times New Roman"/>
          <w:b w:val="0"/>
          <w:noProof/>
          <w:color w:val="auto"/>
          <w:sz w:val="20"/>
          <w:szCs w:val="20"/>
        </w:rPr>
        <w:t>3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11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 – CMOs médios anuais para o SE </w:t>
      </w:r>
      <w:r w:rsidR="00E11AC1"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e NE </w:t>
      </w:r>
      <w:r w:rsidRPr="00B61187">
        <w:rPr>
          <w:rFonts w:ascii="Times New Roman" w:hAnsi="Times New Roman"/>
          <w:b w:val="0"/>
          <w:color w:val="auto"/>
          <w:sz w:val="20"/>
          <w:szCs w:val="20"/>
        </w:rPr>
        <w:t>resultantes das simulações do Caso 1</w:t>
      </w:r>
      <w:bookmarkEnd w:id="12"/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Percebe-se que </w:t>
      </w:r>
      <w:r w:rsidR="001A5A3C" w:rsidRPr="002113B0">
        <w:rPr>
          <w:rFonts w:ascii="Times New Roman" w:eastAsia="Times New Roman" w:hAnsi="Times New Roman"/>
          <w:szCs w:val="24"/>
          <w:lang w:val="pt-PT" w:eastAsia="pt-BR"/>
        </w:rPr>
        <w:t xml:space="preserve">para a produção eólica probabilística 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="001A5A3C" w:rsidRPr="002113B0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h</w:t>
      </w:r>
      <w:r w:rsidR="005200B1" w:rsidRPr="002113B0">
        <w:rPr>
          <w:rFonts w:ascii="Times New Roman" w:eastAsia="Times New Roman" w:hAnsi="Times New Roman"/>
          <w:szCs w:val="24"/>
          <w:lang w:val="pt-PT" w:eastAsia="pt-BR"/>
        </w:rPr>
        <w:t>á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uma elevação nos custos marginais do subsistema SE chegando a uma diferença de aproximadamente 40 R$/MWh no final do horizonte, em 2030, o que implica em alterações no despacho das usinas utilizadas para suprir a demanda do sistema.</w:t>
      </w:r>
      <w:r w:rsidR="00BE6E5F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BE6E5F">
        <w:rPr>
          <w:rFonts w:ascii="Times New Roman" w:eastAsia="Times New Roman" w:hAnsi="Times New Roman"/>
          <w:szCs w:val="24"/>
          <w:lang w:val="pt-PT" w:eastAsia="pt-BR"/>
        </w:rPr>
        <w:lastRenderedPageBreak/>
        <w:t>Percebe-se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E84191">
        <w:rPr>
          <w:rFonts w:ascii="Times New Roman" w:eastAsia="Times New Roman" w:hAnsi="Times New Roman"/>
          <w:szCs w:val="24"/>
          <w:lang w:val="pt-PT" w:eastAsia="pt-BR"/>
        </w:rPr>
        <w:t xml:space="preserve">também 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>que apesar da maior concentração de usinas eólicas no NE, a alteração causada nos CMOs médios anuais do NE tem o mesmo impacto da alteração ocorrida nos CMOs médios anuais do subsistema SE, elevando os custos em aproximadamente 40 R$/MWh no final do horizonte de simulação.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A política operativa foi recalculada considerando-se os cenários de produção eólica probabilísticos 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. Depois foi feita uma simulação com 1200 cenários de vazão e os cenários de geração eólica 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utilizando esta 2ª FCF. O intuito é avaliar se inserir a variabilidade eólica no cálculo da política operativa traz algum benefício ao sistema.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A </w:t>
      </w:r>
      <w:fldSimple w:instr=" REF _Ref445732811 \h  \* MERGEFORMAT ">
        <w:r w:rsidR="00686BA2" w:rsidRPr="00686BA2">
          <w:rPr>
            <w:rFonts w:ascii="Times New Roman" w:eastAsia="Times New Roman" w:hAnsi="Times New Roman"/>
            <w:szCs w:val="24"/>
            <w:lang w:val="pt-PT" w:eastAsia="pt-BR"/>
          </w:rPr>
          <w:t>Figura 5</w:t>
        </w:r>
      </w:fldSimple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mostra a comparação entre os CMOs anuais médios do SE para as simulações probabilísticas de geração eólica 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para os casos utilizando a 1ª e a 2ª FCF, e para o caso de geração eólica determinística utilizando a 1ª FCF.</w:t>
      </w:r>
    </w:p>
    <w:p w:rsidR="00B14077" w:rsidRPr="000D48B3" w:rsidRDefault="00A11FDF" w:rsidP="00B14077">
      <w:pPr>
        <w:pStyle w:val="TCCFigura"/>
        <w:keepNext/>
      </w:pPr>
      <w:r w:rsidRPr="00A11FDF">
        <w:rPr>
          <w:noProof/>
          <w:lang w:eastAsia="pt-BR"/>
        </w:rPr>
        <w:drawing>
          <wp:inline distT="0" distB="0" distL="0" distR="0">
            <wp:extent cx="6570980" cy="2121879"/>
            <wp:effectExtent l="19050" t="0" r="1270" b="0"/>
            <wp:docPr id="2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12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77" w:rsidRPr="00B61187" w:rsidRDefault="00B14077" w:rsidP="00B61187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13" w:name="_Ref445732811"/>
      <w:bookmarkStart w:id="14" w:name="_Toc447571976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="00273CA1" w:rsidRPr="00B61187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B60C82">
        <w:rPr>
          <w:rFonts w:ascii="Times New Roman" w:hAnsi="Times New Roman"/>
          <w:b w:val="0"/>
          <w:noProof/>
          <w:color w:val="auto"/>
          <w:sz w:val="20"/>
          <w:szCs w:val="20"/>
        </w:rPr>
        <w:t>4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13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 – CMOs médios anuais do SE </w:t>
      </w:r>
      <w:r w:rsidR="00B61187">
        <w:rPr>
          <w:rFonts w:ascii="Times New Roman" w:hAnsi="Times New Roman"/>
          <w:b w:val="0"/>
          <w:color w:val="auto"/>
          <w:sz w:val="20"/>
          <w:szCs w:val="20"/>
        </w:rPr>
        <w:t xml:space="preserve">e NE </w:t>
      </w:r>
      <w:r w:rsidRPr="00B61187">
        <w:rPr>
          <w:rFonts w:ascii="Times New Roman" w:hAnsi="Times New Roman"/>
          <w:b w:val="0"/>
          <w:color w:val="auto"/>
          <w:sz w:val="20"/>
          <w:szCs w:val="20"/>
        </w:rPr>
        <w:t>resultantes das simulações com diferentes cálculos da política operativa para o Caso 1</w:t>
      </w:r>
      <w:bookmarkEnd w:id="14"/>
    </w:p>
    <w:p w:rsidR="00B14077" w:rsidRDefault="00EC3823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>
        <w:rPr>
          <w:rFonts w:ascii="Times New Roman" w:eastAsia="Times New Roman" w:hAnsi="Times New Roman"/>
          <w:szCs w:val="24"/>
          <w:lang w:val="pt-PT" w:eastAsia="pt-BR"/>
        </w:rPr>
        <w:t>Observa-se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que inserir a variabilidade eólica no cálculo da política operativa (cálculo da FCF) ameniza os impactos que a variabilidade eólica causa nos CMOs do sistema, reduzindo a diferença existente entre o caso probabilístico 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e o caso determinístico para aproximadamente 35 R$/MWh. Desta forma, o modelo se previne melhor contra os possíveis cenários de geração eólica que podem ocorrer, conseguindo diminuir os custos marginais de operação.</w:t>
      </w:r>
    </w:p>
    <w:p w:rsidR="008B6097" w:rsidRDefault="008B6097" w:rsidP="008B6097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8B6097">
        <w:rPr>
          <w:rFonts w:ascii="Times New Roman" w:eastAsia="Times New Roman" w:hAnsi="Times New Roman"/>
          <w:szCs w:val="24"/>
          <w:lang w:val="pt-PT" w:eastAsia="pt-BR"/>
        </w:rPr>
        <w:t xml:space="preserve">A </w:t>
      </w:r>
      <w:fldSimple w:instr=" REF _Ref451512202 \h  \* MERGEFORMAT ">
        <w:r w:rsidR="0089020F" w:rsidRPr="0089020F">
          <w:rPr>
            <w:rFonts w:ascii="Times New Roman" w:hAnsi="Times New Roman"/>
            <w:szCs w:val="24"/>
          </w:rPr>
          <w:t>Figura 5</w:t>
        </w:r>
      </w:fldSimple>
      <w:r w:rsidR="0089020F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Pr="008B6097">
        <w:rPr>
          <w:rFonts w:ascii="Times New Roman" w:eastAsia="Times New Roman" w:hAnsi="Times New Roman"/>
          <w:szCs w:val="24"/>
          <w:lang w:val="pt-PT" w:eastAsia="pt-BR"/>
        </w:rPr>
        <w:t xml:space="preserve">mostra os percentis do resultado dos CMOs do subsistema SE para as 1200 séries de vazões combinadas com as 20 séries de geração eólica para o ano de 2030. Através dela percebe-se que a política operativa calculada considerando produção eólica probabilística diminui a volatilidade dos custos marginais. </w:t>
      </w:r>
    </w:p>
    <w:p w:rsidR="00B60C82" w:rsidRDefault="003B7C3F" w:rsidP="00B60C82">
      <w:pPr>
        <w:pStyle w:val="TCCFigura"/>
        <w:keepNext/>
      </w:pPr>
      <w:r w:rsidRPr="003B7C3F">
        <w:rPr>
          <w:noProof/>
          <w:lang w:eastAsia="pt-BR"/>
        </w:rPr>
        <w:lastRenderedPageBreak/>
        <w:drawing>
          <wp:inline distT="0" distB="0" distL="0" distR="0">
            <wp:extent cx="3026696" cy="1980000"/>
            <wp:effectExtent l="19050" t="0" r="2254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9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97" w:rsidRPr="0089020F" w:rsidRDefault="00B60C82" w:rsidP="0089020F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15" w:name="_Ref451512202"/>
      <w:r w:rsidRPr="0089020F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89020F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89020F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89020F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Pr="0089020F">
        <w:rPr>
          <w:rFonts w:ascii="Times New Roman" w:hAnsi="Times New Roman"/>
          <w:b w:val="0"/>
          <w:color w:val="auto"/>
          <w:sz w:val="20"/>
          <w:szCs w:val="20"/>
        </w:rPr>
        <w:t>5</w:t>
      </w:r>
      <w:r w:rsidR="007514BF" w:rsidRPr="0089020F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15"/>
      <w:r w:rsidR="0089020F" w:rsidRPr="0089020F">
        <w:rPr>
          <w:rFonts w:ascii="Times New Roman" w:hAnsi="Times New Roman"/>
          <w:b w:val="0"/>
          <w:color w:val="auto"/>
          <w:sz w:val="20"/>
          <w:szCs w:val="20"/>
        </w:rPr>
        <w:t xml:space="preserve"> - Percentis do CMO para o subsistema SE resultantes das simulações com diferentes cálculos da política operativa para o Caso 1</w:t>
      </w:r>
    </w:p>
    <w:p w:rsidR="00B14077" w:rsidRPr="002113B0" w:rsidRDefault="00B14077" w:rsidP="00433A49">
      <w:pPr>
        <w:pStyle w:val="Ttulo1"/>
        <w:numPr>
          <w:ilvl w:val="1"/>
          <w:numId w:val="6"/>
        </w:numPr>
        <w:tabs>
          <w:tab w:val="left" w:pos="567"/>
        </w:tabs>
        <w:spacing w:before="120" w:after="120" w:line="360" w:lineRule="auto"/>
        <w:ind w:left="788" w:hanging="431"/>
        <w:rPr>
          <w:rFonts w:ascii="Times New Roman" w:hAnsi="Times New Roman"/>
          <w:lang w:val="pt-BR"/>
        </w:rPr>
      </w:pPr>
      <w:bookmarkStart w:id="16" w:name="_Toc447571929"/>
      <w:r w:rsidRPr="002113B0">
        <w:rPr>
          <w:rFonts w:ascii="Times New Roman" w:hAnsi="Times New Roman"/>
          <w:lang w:val="pt-BR"/>
        </w:rPr>
        <w:t>Caso 2</w:t>
      </w:r>
      <w:bookmarkEnd w:id="16"/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>Para o caso com aumento na inserção de eólicas no sistema, foram feitas simulações análogas ao caso anterior, a fim de analisar se os impactos no sistema para uma alta inserção de energia eólica continuam os mesmos de um sistema com uma menor inserção desta energia.</w:t>
      </w:r>
      <w:r w:rsidR="00B61187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6960D5">
        <w:rPr>
          <w:rFonts w:ascii="Times New Roman" w:eastAsia="Times New Roman" w:hAnsi="Times New Roman"/>
          <w:szCs w:val="24"/>
          <w:lang w:val="pt-PT" w:eastAsia="pt-BR"/>
        </w:rPr>
        <w:t>Os CMOs médios anuais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pode</w:t>
      </w:r>
      <w:r w:rsidR="006960D5">
        <w:rPr>
          <w:rFonts w:ascii="Times New Roman" w:eastAsia="Times New Roman" w:hAnsi="Times New Roman"/>
          <w:szCs w:val="24"/>
          <w:lang w:val="pt-PT" w:eastAsia="pt-BR"/>
        </w:rPr>
        <w:t>m ser vistos</w:t>
      </w: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através da </w:t>
      </w:r>
      <w:fldSimple w:instr=" REF _Ref445657257 \h  \* MERGEFORMAT ">
        <w:r w:rsidR="00686BA2" w:rsidRPr="00686BA2">
          <w:rPr>
            <w:rFonts w:ascii="Times New Roman" w:eastAsia="Times New Roman" w:hAnsi="Times New Roman"/>
            <w:szCs w:val="24"/>
            <w:lang w:val="pt-PT" w:eastAsia="pt-BR"/>
          </w:rPr>
          <w:t>Figura 6</w:t>
        </w:r>
      </w:fldSimple>
      <w:r w:rsidRPr="002113B0">
        <w:rPr>
          <w:rFonts w:ascii="Times New Roman" w:eastAsia="Times New Roman" w:hAnsi="Times New Roman"/>
          <w:szCs w:val="24"/>
          <w:lang w:val="pt-PT" w:eastAsia="pt-BR"/>
        </w:rPr>
        <w:t>.</w:t>
      </w:r>
    </w:p>
    <w:p w:rsidR="00B14077" w:rsidRPr="000D48B3" w:rsidRDefault="0026793A" w:rsidP="00B14077">
      <w:pPr>
        <w:pStyle w:val="TCCFigura"/>
        <w:keepNext/>
      </w:pPr>
      <w:r w:rsidRPr="0026793A">
        <w:rPr>
          <w:noProof/>
          <w:lang w:eastAsia="pt-BR"/>
        </w:rPr>
        <w:drawing>
          <wp:inline distT="0" distB="0" distL="0" distR="0">
            <wp:extent cx="6570980" cy="2138077"/>
            <wp:effectExtent l="19050" t="0" r="1270" b="0"/>
            <wp:docPr id="2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13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77" w:rsidRPr="00B61187" w:rsidRDefault="00B14077" w:rsidP="00B61187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17" w:name="_Ref445657257"/>
      <w:bookmarkStart w:id="18" w:name="_Toc447571980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="00273CA1" w:rsidRPr="00B61187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B60C82">
        <w:rPr>
          <w:rFonts w:ascii="Times New Roman" w:hAnsi="Times New Roman"/>
          <w:b w:val="0"/>
          <w:noProof/>
          <w:color w:val="auto"/>
          <w:sz w:val="20"/>
          <w:szCs w:val="20"/>
        </w:rPr>
        <w:t>6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17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 – CMOs médios anuais </w:t>
      </w:r>
      <w:r w:rsidR="00B61187">
        <w:rPr>
          <w:rFonts w:ascii="Times New Roman" w:hAnsi="Times New Roman"/>
          <w:b w:val="0"/>
          <w:color w:val="auto"/>
          <w:sz w:val="20"/>
          <w:szCs w:val="20"/>
        </w:rPr>
        <w:t>do</w:t>
      </w:r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 SE </w:t>
      </w:r>
      <w:r w:rsidR="00B61187">
        <w:rPr>
          <w:rFonts w:ascii="Times New Roman" w:hAnsi="Times New Roman"/>
          <w:b w:val="0"/>
          <w:color w:val="auto"/>
          <w:sz w:val="20"/>
          <w:szCs w:val="20"/>
        </w:rPr>
        <w:t xml:space="preserve">e NE </w:t>
      </w:r>
      <w:r w:rsidRPr="00B61187">
        <w:rPr>
          <w:rFonts w:ascii="Times New Roman" w:hAnsi="Times New Roman"/>
          <w:b w:val="0"/>
          <w:color w:val="auto"/>
          <w:sz w:val="20"/>
          <w:szCs w:val="20"/>
        </w:rPr>
        <w:t>resultantes das simulações do Caso 2</w:t>
      </w:r>
      <w:bookmarkEnd w:id="18"/>
    </w:p>
    <w:p w:rsidR="00C06215" w:rsidRDefault="00C06215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>
        <w:rPr>
          <w:rFonts w:ascii="Times New Roman" w:eastAsia="Times New Roman" w:hAnsi="Times New Roman"/>
          <w:szCs w:val="24"/>
          <w:lang w:val="pt-PT" w:eastAsia="pt-BR"/>
        </w:rPr>
        <w:t>Os</w:t>
      </w:r>
      <w:r w:rsidR="00DE3DF9">
        <w:rPr>
          <w:rFonts w:ascii="Times New Roman" w:eastAsia="Times New Roman" w:hAnsi="Times New Roman"/>
          <w:szCs w:val="24"/>
          <w:lang w:val="pt-PT" w:eastAsia="pt-BR"/>
        </w:rPr>
        <w:t xml:space="preserve"> comportamento</w:t>
      </w:r>
      <w:r>
        <w:rPr>
          <w:rFonts w:ascii="Times New Roman" w:eastAsia="Times New Roman" w:hAnsi="Times New Roman"/>
          <w:szCs w:val="24"/>
          <w:lang w:val="pt-PT" w:eastAsia="pt-BR"/>
        </w:rPr>
        <w:t>s</w:t>
      </w:r>
      <w:r w:rsidR="00DE3DF9">
        <w:rPr>
          <w:rFonts w:ascii="Times New Roman" w:eastAsia="Times New Roman" w:hAnsi="Times New Roman"/>
          <w:szCs w:val="24"/>
          <w:lang w:val="pt-PT" w:eastAsia="pt-BR"/>
        </w:rPr>
        <w:t xml:space="preserve"> do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impacto causado pela variabilidade eólica nos CMOs médios anuais </w:t>
      </w:r>
      <w:r>
        <w:rPr>
          <w:rFonts w:ascii="Times New Roman" w:eastAsia="Times New Roman" w:hAnsi="Times New Roman"/>
          <w:szCs w:val="24"/>
          <w:lang w:val="pt-PT" w:eastAsia="pt-BR"/>
        </w:rPr>
        <w:t xml:space="preserve">do SE e NE 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>continua</w:t>
      </w:r>
      <w:r>
        <w:rPr>
          <w:rFonts w:ascii="Times New Roman" w:eastAsia="Times New Roman" w:hAnsi="Times New Roman"/>
          <w:szCs w:val="24"/>
          <w:lang w:val="pt-PT" w:eastAsia="pt-BR"/>
        </w:rPr>
        <w:t>m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o</w:t>
      </w:r>
      <w:r>
        <w:rPr>
          <w:rFonts w:ascii="Times New Roman" w:eastAsia="Times New Roman" w:hAnsi="Times New Roman"/>
          <w:szCs w:val="24"/>
          <w:lang w:val="pt-PT" w:eastAsia="pt-BR"/>
        </w:rPr>
        <w:t>s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mesmo</w:t>
      </w:r>
      <w:r>
        <w:rPr>
          <w:rFonts w:ascii="Times New Roman" w:eastAsia="Times New Roman" w:hAnsi="Times New Roman"/>
          <w:szCs w:val="24"/>
          <w:lang w:val="pt-PT" w:eastAsia="pt-BR"/>
        </w:rPr>
        <w:t>s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do Caso 1. Porém, a diferença entre os custos do caso probabilístico onde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 xml:space="preserve"> e o caso determinístico aumenta para aproximadamente 115 R$/MWh.</w:t>
      </w:r>
      <w:r w:rsidR="00DE3DF9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</w:p>
    <w:p w:rsidR="00B14077" w:rsidRPr="002113B0" w:rsidRDefault="00B14077" w:rsidP="002113B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O mesmo processo de aprimoramento da política operativa foi feito para este caso. A </w:t>
      </w:r>
      <w:fldSimple w:instr=" REF _Ref445657833 \h  \* MERGEFORMAT ">
        <w:r w:rsidR="0089020F" w:rsidRPr="0089020F">
          <w:rPr>
            <w:rFonts w:ascii="Times New Roman" w:eastAsia="Times New Roman" w:hAnsi="Times New Roman"/>
            <w:szCs w:val="24"/>
            <w:lang w:val="pt-PT" w:eastAsia="pt-BR"/>
          </w:rPr>
          <w:t>Figura 7</w:t>
        </w:r>
      </w:fldSimple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mostra a comparação entre os CMOs anuais médios do SE para as simulações probabilísticas de geração eólica com </w:t>
      </w:r>
      <m:oMath>
        <m:sSub>
          <m:sSubPr>
            <m:ctrlPr>
              <w:rPr>
                <w:rFonts w:ascii="Cambria Math" w:eastAsia="Times New Roman" w:hAnsi="Cambria Math"/>
                <w:szCs w:val="24"/>
                <w:lang w:val="pt-PT" w:eastAsia="pt-B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Cs w:val="24"/>
                <w:lang w:val="pt-PT"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szCs w:val="24"/>
            <w:lang w:val="pt-PT" w:eastAsia="pt-BR"/>
          </w:rPr>
          <m:t>=40%</m:t>
        </m:r>
      </m:oMath>
      <w:r w:rsidRPr="002113B0">
        <w:rPr>
          <w:rFonts w:ascii="Times New Roman" w:eastAsia="Times New Roman" w:hAnsi="Times New Roman"/>
          <w:szCs w:val="24"/>
          <w:lang w:val="pt-PT" w:eastAsia="pt-BR"/>
        </w:rPr>
        <w:t xml:space="preserve"> para os casos utilizando a 1ª e a 2ª FCF, e para o caso de geração eólica determinística utilizando a 1ª FCF.</w:t>
      </w:r>
    </w:p>
    <w:p w:rsidR="00B14077" w:rsidRPr="000D48B3" w:rsidRDefault="0026793A" w:rsidP="00B14077">
      <w:pPr>
        <w:pStyle w:val="TCCFigura"/>
        <w:keepNext/>
      </w:pPr>
      <w:r w:rsidRPr="0026793A">
        <w:rPr>
          <w:noProof/>
          <w:lang w:eastAsia="pt-BR"/>
        </w:rPr>
        <w:drawing>
          <wp:inline distT="0" distB="0" distL="0" distR="0">
            <wp:extent cx="6240329" cy="2052000"/>
            <wp:effectExtent l="19050" t="0" r="8071" b="0"/>
            <wp:docPr id="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29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77" w:rsidRPr="00B61187" w:rsidRDefault="00B14077" w:rsidP="00B61187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19" w:name="_Ref445657833"/>
      <w:bookmarkStart w:id="20" w:name="_Toc447571984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="00273CA1" w:rsidRPr="00B61187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="00B60C82">
        <w:rPr>
          <w:rFonts w:ascii="Times New Roman" w:hAnsi="Times New Roman"/>
          <w:b w:val="0"/>
          <w:noProof/>
          <w:color w:val="auto"/>
          <w:sz w:val="20"/>
          <w:szCs w:val="20"/>
        </w:rPr>
        <w:t>7</w:t>
      </w:r>
      <w:r w:rsidR="007514BF" w:rsidRPr="00B61187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19"/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 – CMOs médios anuais do SE</w:t>
      </w:r>
      <w:r w:rsidR="00B61187">
        <w:rPr>
          <w:rFonts w:ascii="Times New Roman" w:hAnsi="Times New Roman"/>
          <w:b w:val="0"/>
          <w:color w:val="auto"/>
          <w:sz w:val="20"/>
          <w:szCs w:val="20"/>
        </w:rPr>
        <w:t xml:space="preserve"> e NE</w:t>
      </w:r>
      <w:r w:rsidRPr="00B61187">
        <w:rPr>
          <w:rFonts w:ascii="Times New Roman" w:hAnsi="Times New Roman"/>
          <w:b w:val="0"/>
          <w:color w:val="auto"/>
          <w:sz w:val="20"/>
          <w:szCs w:val="20"/>
        </w:rPr>
        <w:t xml:space="preserve"> resultantes das simulações com diferentes cálculos da política operativa para o Caso 2</w:t>
      </w:r>
      <w:bookmarkEnd w:id="20"/>
    </w:p>
    <w:p w:rsidR="005E6368" w:rsidRDefault="00C06215" w:rsidP="005E6368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>
        <w:rPr>
          <w:rFonts w:ascii="Times New Roman" w:eastAsia="Times New Roman" w:hAnsi="Times New Roman"/>
          <w:szCs w:val="24"/>
          <w:lang w:eastAsia="pt-BR"/>
        </w:rPr>
        <w:t>I</w:t>
      </w:r>
      <w:r w:rsidR="00B14077" w:rsidRPr="002113B0">
        <w:rPr>
          <w:rFonts w:ascii="Times New Roman" w:eastAsia="Times New Roman" w:hAnsi="Times New Roman"/>
          <w:szCs w:val="24"/>
          <w:lang w:val="pt-PT" w:eastAsia="pt-BR"/>
        </w:rPr>
        <w:t>nserir a variabilidade eólica no cálculo da política operativa continua amenizando os impactos que a variabilidade eólica causa nos CMOs do sistema. Diminuindo a diferença de 115 R$/MWh</w:t>
      </w:r>
      <w:r w:rsidR="005E6368">
        <w:rPr>
          <w:rFonts w:ascii="Times New Roman" w:eastAsia="Times New Roman" w:hAnsi="Times New Roman"/>
          <w:szCs w:val="24"/>
          <w:lang w:val="pt-PT" w:eastAsia="pt-BR"/>
        </w:rPr>
        <w:t xml:space="preserve"> para aproximadamente 95 R$/MWh.</w:t>
      </w:r>
    </w:p>
    <w:p w:rsidR="008B6097" w:rsidRPr="000D48B3" w:rsidRDefault="008B6097" w:rsidP="008B6097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eastAsia="pt-BR"/>
        </w:rPr>
      </w:pPr>
      <w:r w:rsidRPr="000D48B3">
        <w:rPr>
          <w:rFonts w:ascii="Times New Roman" w:eastAsia="Times New Roman" w:hAnsi="Times New Roman"/>
          <w:szCs w:val="24"/>
          <w:lang w:eastAsia="pt-BR"/>
        </w:rPr>
        <w:t xml:space="preserve">A </w:t>
      </w:r>
      <w:fldSimple w:instr=" REF _Ref451512253 \h  \* MERGEFORMAT ">
        <w:r w:rsidR="0089020F" w:rsidRPr="0089020F">
          <w:rPr>
            <w:rFonts w:ascii="Times New Roman" w:hAnsi="Times New Roman"/>
            <w:szCs w:val="24"/>
          </w:rPr>
          <w:t>Figura 8</w:t>
        </w:r>
      </w:fldSimple>
      <w:r w:rsidR="0089020F">
        <w:rPr>
          <w:rFonts w:ascii="Times New Roman" w:eastAsia="Times New Roman" w:hAnsi="Times New Roman"/>
          <w:szCs w:val="24"/>
          <w:lang w:eastAsia="pt-BR"/>
        </w:rPr>
        <w:t xml:space="preserve"> </w:t>
      </w:r>
      <w:r w:rsidRPr="000D48B3">
        <w:rPr>
          <w:rFonts w:ascii="Times New Roman" w:eastAsia="Times New Roman" w:hAnsi="Times New Roman"/>
          <w:szCs w:val="24"/>
          <w:lang w:eastAsia="pt-BR"/>
        </w:rPr>
        <w:t xml:space="preserve">mostra os percentis do resultado dos CMOs do subsistema SE para as 1200 séries de vazões combinadas com as 20 séries de geração eólica para o ano de 2030. Através dela percebe-se que a </w:t>
      </w:r>
      <w:r>
        <w:rPr>
          <w:rFonts w:ascii="Times New Roman" w:eastAsia="Times New Roman" w:hAnsi="Times New Roman"/>
          <w:szCs w:val="24"/>
          <w:lang w:eastAsia="pt-BR"/>
        </w:rPr>
        <w:t xml:space="preserve">política operativa calculada considerando </w:t>
      </w:r>
      <w:r w:rsidRPr="000D48B3">
        <w:rPr>
          <w:rFonts w:ascii="Times New Roman" w:eastAsia="Times New Roman" w:hAnsi="Times New Roman"/>
          <w:szCs w:val="24"/>
          <w:lang w:eastAsia="pt-BR"/>
        </w:rPr>
        <w:t xml:space="preserve">produção eólica probabilística </w:t>
      </w:r>
      <w:r>
        <w:rPr>
          <w:rFonts w:ascii="Times New Roman" w:eastAsia="Times New Roman" w:hAnsi="Times New Roman"/>
          <w:szCs w:val="24"/>
          <w:lang w:eastAsia="pt-BR"/>
        </w:rPr>
        <w:t>diminui a volatilidade dos custos marginais</w:t>
      </w:r>
      <w:r w:rsidRPr="000D48B3">
        <w:rPr>
          <w:rFonts w:ascii="Times New Roman" w:eastAsia="Times New Roman" w:hAnsi="Times New Roman"/>
          <w:szCs w:val="24"/>
          <w:lang w:eastAsia="pt-BR"/>
        </w:rPr>
        <w:t>.</w:t>
      </w:r>
      <w:r>
        <w:rPr>
          <w:rFonts w:ascii="Times New Roman" w:eastAsia="Times New Roman" w:hAnsi="Times New Roman"/>
          <w:szCs w:val="24"/>
          <w:lang w:eastAsia="pt-BR"/>
        </w:rPr>
        <w:t xml:space="preserve"> </w:t>
      </w:r>
    </w:p>
    <w:p w:rsidR="00B60C82" w:rsidRDefault="008244E1" w:rsidP="00B60C82">
      <w:pPr>
        <w:pStyle w:val="TCCFigura"/>
        <w:keepNext/>
      </w:pPr>
      <w:r w:rsidRPr="008244E1">
        <w:rPr>
          <w:noProof/>
          <w:lang w:eastAsia="pt-BR"/>
        </w:rPr>
        <w:drawing>
          <wp:inline distT="0" distB="0" distL="0" distR="0">
            <wp:extent cx="3028683" cy="1980000"/>
            <wp:effectExtent l="19050" t="0" r="267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8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97" w:rsidRPr="0089020F" w:rsidRDefault="00B60C82" w:rsidP="00B60C82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bookmarkStart w:id="21" w:name="_Ref451512253"/>
      <w:r w:rsidRPr="0089020F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="007514BF" w:rsidRPr="0089020F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89020F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="007514BF" w:rsidRPr="0089020F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Pr="0089020F">
        <w:rPr>
          <w:rFonts w:ascii="Times New Roman" w:hAnsi="Times New Roman"/>
          <w:b w:val="0"/>
          <w:color w:val="auto"/>
          <w:sz w:val="20"/>
          <w:szCs w:val="20"/>
        </w:rPr>
        <w:t>8</w:t>
      </w:r>
      <w:r w:rsidR="007514BF" w:rsidRPr="0089020F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bookmarkEnd w:id="21"/>
      <w:r w:rsidR="0089020F" w:rsidRPr="0089020F">
        <w:rPr>
          <w:rFonts w:ascii="Times New Roman" w:hAnsi="Times New Roman"/>
          <w:b w:val="0"/>
          <w:color w:val="auto"/>
          <w:sz w:val="20"/>
          <w:szCs w:val="20"/>
        </w:rPr>
        <w:t xml:space="preserve"> - Percentis do CMO para o subsistema SE resultantes das simulações com diferentes cálculos da política operativa para o Caso 2</w:t>
      </w:r>
    </w:p>
    <w:p w:rsidR="0011437D" w:rsidRPr="005E6368" w:rsidRDefault="0011437D" w:rsidP="00CA6C9E">
      <w:pPr>
        <w:pStyle w:val="Ttulo1"/>
        <w:numPr>
          <w:ilvl w:val="0"/>
          <w:numId w:val="6"/>
        </w:numPr>
        <w:tabs>
          <w:tab w:val="left" w:pos="567"/>
        </w:tabs>
        <w:spacing w:line="360" w:lineRule="auto"/>
        <w:ind w:left="357" w:hanging="357"/>
        <w:rPr>
          <w:rFonts w:ascii="Times New Roman" w:hAnsi="Times New Roman"/>
          <w:lang w:val="pt-BR"/>
        </w:rPr>
      </w:pPr>
      <w:r w:rsidRPr="002113B0">
        <w:rPr>
          <w:rFonts w:ascii="Times New Roman" w:hAnsi="Times New Roman"/>
          <w:lang w:val="pt-BR"/>
        </w:rPr>
        <w:lastRenderedPageBreak/>
        <w:t>CONCLUSÃO</w:t>
      </w:r>
    </w:p>
    <w:p w:rsidR="001F636D" w:rsidRPr="00F97160" w:rsidRDefault="001F636D" w:rsidP="00F97160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F97160">
        <w:rPr>
          <w:rFonts w:ascii="Times New Roman" w:eastAsia="Times New Roman" w:hAnsi="Times New Roman"/>
          <w:szCs w:val="24"/>
          <w:lang w:val="pt-PT" w:eastAsia="pt-BR"/>
        </w:rPr>
        <w:t xml:space="preserve">Se seguidas as condições utilizadas neste estudo, a variabilidade na produção de energia eólica causa, portanto, </w:t>
      </w:r>
      <w:r w:rsidR="00222918">
        <w:rPr>
          <w:rFonts w:ascii="Times New Roman" w:eastAsia="Times New Roman" w:hAnsi="Times New Roman"/>
          <w:szCs w:val="24"/>
          <w:lang w:val="pt-PT" w:eastAsia="pt-BR"/>
        </w:rPr>
        <w:t>impactos elevados nos Custos Marginais de Operação</w:t>
      </w:r>
      <w:r w:rsidR="00F97160">
        <w:rPr>
          <w:rFonts w:ascii="Times New Roman" w:eastAsia="Times New Roman" w:hAnsi="Times New Roman"/>
          <w:szCs w:val="24"/>
          <w:lang w:val="pt-PT" w:eastAsia="pt-BR"/>
        </w:rPr>
        <w:t xml:space="preserve">. </w:t>
      </w:r>
      <w:r w:rsidRPr="00F97160">
        <w:rPr>
          <w:rFonts w:ascii="Times New Roman" w:eastAsia="Times New Roman" w:hAnsi="Times New Roman"/>
          <w:szCs w:val="24"/>
          <w:lang w:val="pt-PT" w:eastAsia="pt-BR"/>
        </w:rPr>
        <w:t>O primeiro método de calcular a FCF é análogo ao utilizado pelos agentes do setor, e, se inserida a variabilidade da produção de energia eólica no cálculo do despacho hidrotérmico final pode levar a aumento nos custos, porém, este impacto pode ser amenizado alterando-se a metodologia de criação da FCF e das simulações realizadas. Portanto, considerando os resultados deste estudo recomenda-se que:</w:t>
      </w:r>
    </w:p>
    <w:p w:rsidR="001F636D" w:rsidRPr="001F636D" w:rsidRDefault="001F636D" w:rsidP="005E6368">
      <w:pPr>
        <w:pStyle w:val="PargrafodaLista"/>
        <w:numPr>
          <w:ilvl w:val="0"/>
          <w:numId w:val="26"/>
        </w:numPr>
        <w:spacing w:after="200" w:line="360" w:lineRule="auto"/>
        <w:ind w:left="641" w:hanging="35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F636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 médio prazo os estudos energéticos passem a ser realizados considerando a variabilidade da produção eólica na simulação final, com objetivo de diagnosticar o impacto desta fonte no sistema;</w:t>
      </w:r>
    </w:p>
    <w:p w:rsidR="00222918" w:rsidRPr="00222918" w:rsidRDefault="001F636D" w:rsidP="00222918">
      <w:pPr>
        <w:pStyle w:val="PargrafodaLista"/>
        <w:numPr>
          <w:ilvl w:val="0"/>
          <w:numId w:val="26"/>
        </w:numPr>
        <w:spacing w:after="200" w:line="360" w:lineRule="auto"/>
        <w:ind w:left="641" w:hanging="35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F636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um horizonte de mais longo prazo, com o aumento da penetração eólica, que a política operativa passe a ser calculada considerando a variabilidade da inserção eólica, o que permite otimização da utilização dos reservatórios hidrelétricos.</w:t>
      </w:r>
    </w:p>
    <w:sdt>
      <w:sdtPr>
        <w:id w:val="2725832"/>
        <w:docPartObj>
          <w:docPartGallery w:val="Bibliographies"/>
          <w:docPartUnique/>
        </w:docPartObj>
      </w:sdtPr>
      <w:sdtEndPr>
        <w:rPr>
          <w:b w:val="0"/>
          <w:caps w:val="0"/>
          <w:lang w:val="pt-BR" w:eastAsia="en-US"/>
        </w:rPr>
      </w:sdtEndPr>
      <w:sdtContent>
        <w:p w:rsidR="00222918" w:rsidRDefault="00222918" w:rsidP="00222918">
          <w:pPr>
            <w:pStyle w:val="Ttulo1"/>
            <w:numPr>
              <w:ilvl w:val="0"/>
              <w:numId w:val="0"/>
            </w:numPr>
            <w:spacing w:after="0"/>
            <w:ind w:left="357"/>
          </w:pPr>
          <w:r w:rsidRPr="00222918">
            <w:rPr>
              <w:rFonts w:ascii="Times New Roman" w:hAnsi="Times New Roman"/>
              <w:lang w:val="pt-BR"/>
            </w:rPr>
            <w:t>Bibliografia</w:t>
          </w:r>
        </w:p>
        <w:sdt>
          <w:sdtPr>
            <w:id w:val="2725831"/>
            <w:bibliography/>
          </w:sdtPr>
          <w:sdtContent>
            <w:p w:rsidR="00325330" w:rsidRDefault="00222918" w:rsidP="00222918">
              <w:pPr>
                <w:rPr>
                  <w:noProof/>
                  <w:sz w:val="20"/>
                  <w:lang w:eastAsia="pt-BR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>
              <w:tblGrid>
                <w:gridCol w:w="355"/>
                <w:gridCol w:w="10083"/>
              </w:tblGrid>
              <w:tr w:rsidR="00325330" w:rsidRPr="00325330">
                <w:trPr>
                  <w:divId w:val="1103569039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</w:rPr>
                    </w:pPr>
                    <w:r w:rsidRPr="00325330"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  <w:lang w:val="en-US"/>
                      </w:rPr>
                    </w:pPr>
                    <w:r w:rsidRPr="00325330">
                      <w:rPr>
                        <w:noProof/>
                        <w:lang w:val="en-US"/>
                      </w:rPr>
                      <w:t xml:space="preserve">Pereira, M. V. F.; Pinto, L. M. V. G., “Stochastic Optimization of Multireservoir Hydroelectric System – a Decomposition Approach,” </w:t>
                    </w:r>
                    <w:r w:rsidRPr="00325330">
                      <w:rPr>
                        <w:iCs/>
                        <w:noProof/>
                        <w:lang w:val="en-US"/>
                      </w:rPr>
                      <w:t xml:space="preserve">Water Resource Research, </w:t>
                    </w:r>
                    <w:r w:rsidRPr="00325330">
                      <w:rPr>
                        <w:noProof/>
                        <w:lang w:val="en-US"/>
                      </w:rPr>
                      <w:t xml:space="preserve">vol. 21 nº 6, 1985. </w:t>
                    </w:r>
                  </w:p>
                </w:tc>
              </w:tr>
              <w:tr w:rsidR="00325330">
                <w:trPr>
                  <w:divId w:val="1103569039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</w:rPr>
                    </w:pPr>
                    <w:r w:rsidRPr="00325330"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</w:rPr>
                    </w:pPr>
                    <w:r w:rsidRPr="00325330">
                      <w:rPr>
                        <w:noProof/>
                      </w:rPr>
                      <w:t xml:space="preserve">Bezerra B., Cunha G., Ávila P., Barroso L. A., Carvalho M., e Pereira M. V., “Análise do percentual máximo para a inserção de energia eólica na matriz elétrica brasileira sob a ótica energética,” </w:t>
                    </w:r>
                    <w:r w:rsidRPr="00325330">
                      <w:rPr>
                        <w:iCs/>
                        <w:noProof/>
                      </w:rPr>
                      <w:t xml:space="preserve">XXII SNPTEE, </w:t>
                    </w:r>
                    <w:r w:rsidRPr="00325330">
                      <w:rPr>
                        <w:noProof/>
                      </w:rPr>
                      <w:t xml:space="preserve">p. 8, 10 2013. </w:t>
                    </w:r>
                  </w:p>
                </w:tc>
              </w:tr>
              <w:tr w:rsidR="00325330" w:rsidRPr="00325330">
                <w:trPr>
                  <w:divId w:val="1103569039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</w:rPr>
                    </w:pPr>
                    <w:r w:rsidRPr="00325330"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</w:rPr>
                    </w:pPr>
                    <w:r w:rsidRPr="00325330">
                      <w:rPr>
                        <w:noProof/>
                      </w:rPr>
                      <w:t xml:space="preserve">Operador Nacional do Sistema Elétrico, 2015. </w:t>
                    </w:r>
                    <w:r w:rsidRPr="00325330">
                      <w:rPr>
                        <w:noProof/>
                        <w:lang w:val="en-US"/>
                      </w:rPr>
                      <w:t xml:space="preserve">[Online]. </w:t>
                    </w:r>
                    <w:r w:rsidRPr="00325330">
                      <w:rPr>
                        <w:noProof/>
                      </w:rPr>
                      <w:t>Disponível em: http://www.ons.org.br/operacao/apresentacoesPMO.aspx.</w:t>
                    </w:r>
                  </w:p>
                </w:tc>
              </w:tr>
              <w:tr w:rsidR="00325330">
                <w:trPr>
                  <w:divId w:val="1103569039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</w:rPr>
                    </w:pPr>
                    <w:r w:rsidRPr="00325330"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325330" w:rsidRPr="00325330" w:rsidRDefault="00325330" w:rsidP="00325330">
                    <w:pPr>
                      <w:pStyle w:val="Bibliografia"/>
                      <w:spacing w:line="360" w:lineRule="auto"/>
                      <w:rPr>
                        <w:rFonts w:eastAsiaTheme="minorEastAsia"/>
                        <w:noProof/>
                      </w:rPr>
                    </w:pPr>
                    <w:r w:rsidRPr="00325330">
                      <w:rPr>
                        <w:noProof/>
                      </w:rPr>
                      <w:t>EPE - Empresa de Pesquisa Energética, “Plano Decenal de Expansão de Energia - 2024,” Rio de Janeiro, 2015.</w:t>
                    </w:r>
                  </w:p>
                </w:tc>
              </w:tr>
            </w:tbl>
            <w:p w:rsidR="00325330" w:rsidRDefault="00325330">
              <w:pPr>
                <w:divId w:val="1103569039"/>
                <w:rPr>
                  <w:rFonts w:eastAsia="Times New Roman"/>
                  <w:noProof/>
                </w:rPr>
              </w:pPr>
            </w:p>
            <w:p w:rsidR="00222918" w:rsidRDefault="00222918" w:rsidP="00222918">
              <w:r>
                <w:fldChar w:fldCharType="end"/>
              </w:r>
            </w:p>
          </w:sdtContent>
        </w:sdt>
        <w:p w:rsidR="00222918" w:rsidRDefault="00222918">
          <w:pPr>
            <w:rPr>
              <w:rFonts w:ascii="Times New Roman" w:hAnsi="Times New Roman"/>
              <w:b/>
              <w:caps/>
              <w:lang w:eastAsia="zh-CN"/>
            </w:rPr>
          </w:pPr>
          <w:r>
            <w:rPr>
              <w:rFonts w:ascii="Times New Roman" w:hAnsi="Times New Roman"/>
              <w:b/>
              <w:caps/>
              <w:lang w:eastAsia="zh-CN"/>
            </w:rPr>
            <w:br w:type="page"/>
          </w:r>
        </w:p>
        <w:p w:rsidR="00B60C82" w:rsidRPr="00222918" w:rsidRDefault="00222918" w:rsidP="00222918">
          <w:pPr>
            <w:spacing w:before="240" w:after="240" w:line="360" w:lineRule="auto"/>
          </w:pPr>
          <w:r w:rsidR="00540972" w:rsidRPr="00222918">
            <w:rPr>
              <w:rFonts w:ascii="Times New Roman" w:hAnsi="Times New Roman"/>
              <w:b/>
              <w:caps/>
              <w:lang w:eastAsia="zh-CN"/>
            </w:rPr>
            <w:t>BIOGRAFIAS</w:t>
          </w:r>
        </w:p>
      </w:sdtContent>
    </w:sdt>
    <w:p w:rsidR="00DF3856" w:rsidRPr="00546830" w:rsidRDefault="00DF3856" w:rsidP="00DF3856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eastAsia="pt-BR"/>
        </w:rPr>
      </w:pPr>
      <w:r w:rsidRPr="00546830">
        <w:rPr>
          <w:rFonts w:ascii="Times New Roman" w:eastAsia="Times New Roman" w:hAnsi="Times New Roman"/>
          <w:b/>
          <w:szCs w:val="24"/>
          <w:lang w:eastAsia="pt-BR"/>
        </w:rPr>
        <w:t>Yasmina Suleiman El-Heri</w:t>
      </w:r>
      <w:r w:rsidRPr="00546830">
        <w:rPr>
          <w:rFonts w:ascii="Times New Roman" w:eastAsia="Times New Roman" w:hAnsi="Times New Roman"/>
          <w:szCs w:val="24"/>
          <w:lang w:eastAsia="pt-BR"/>
        </w:rPr>
        <w:t xml:space="preserve"> </w:t>
      </w:r>
      <w:r w:rsidR="00540972">
        <w:rPr>
          <w:rFonts w:ascii="Times New Roman" w:eastAsia="Times New Roman" w:hAnsi="Times New Roman"/>
          <w:szCs w:val="24"/>
          <w:lang w:eastAsia="pt-BR"/>
        </w:rPr>
        <w:t>– Graduou-se em E</w:t>
      </w:r>
      <w:r w:rsidRPr="00546830">
        <w:rPr>
          <w:rFonts w:ascii="Times New Roman" w:eastAsia="Times New Roman" w:hAnsi="Times New Roman"/>
          <w:szCs w:val="24"/>
          <w:lang w:eastAsia="pt-BR"/>
        </w:rPr>
        <w:t>ng</w:t>
      </w:r>
      <w:r w:rsidR="00540972">
        <w:rPr>
          <w:rFonts w:ascii="Times New Roman" w:eastAsia="Times New Roman" w:hAnsi="Times New Roman"/>
          <w:szCs w:val="24"/>
          <w:lang w:eastAsia="pt-BR"/>
        </w:rPr>
        <w:t>enharia E</w:t>
      </w:r>
      <w:r>
        <w:rPr>
          <w:rFonts w:ascii="Times New Roman" w:eastAsia="Times New Roman" w:hAnsi="Times New Roman"/>
          <w:szCs w:val="24"/>
          <w:lang w:eastAsia="pt-BR"/>
        </w:rPr>
        <w:t>létrica com ênfase em Sistemas de P</w:t>
      </w:r>
      <w:r w:rsidRPr="00546830">
        <w:rPr>
          <w:rFonts w:ascii="Times New Roman" w:eastAsia="Times New Roman" w:hAnsi="Times New Roman"/>
          <w:szCs w:val="24"/>
          <w:lang w:eastAsia="pt-BR"/>
        </w:rPr>
        <w:t xml:space="preserve">otência pela Universidade Federal Fluminense (UFF) em 2015. Trabalhou como estagiária na área de estudos energéticos do Brasil na PSR onde realizou a pesquisa que deu origem </w:t>
      </w:r>
      <w:r w:rsidR="003A7177">
        <w:rPr>
          <w:rFonts w:ascii="Times New Roman" w:eastAsia="Times New Roman" w:hAnsi="Times New Roman"/>
          <w:szCs w:val="24"/>
          <w:lang w:eastAsia="pt-BR"/>
        </w:rPr>
        <w:t>ao</w:t>
      </w:r>
      <w:r w:rsidRPr="00546830">
        <w:rPr>
          <w:rFonts w:ascii="Times New Roman" w:eastAsia="Times New Roman" w:hAnsi="Times New Roman"/>
          <w:szCs w:val="24"/>
          <w:lang w:eastAsia="pt-BR"/>
        </w:rPr>
        <w:t xml:space="preserve"> projeto final de graduação</w:t>
      </w:r>
      <w:r w:rsidR="003A7177">
        <w:rPr>
          <w:rFonts w:ascii="Times New Roman" w:eastAsia="Times New Roman" w:hAnsi="Times New Roman"/>
          <w:szCs w:val="24"/>
          <w:lang w:eastAsia="pt-BR"/>
        </w:rPr>
        <w:t xml:space="preserve"> e posteriormente a este artigo</w:t>
      </w:r>
      <w:r w:rsidRPr="00546830">
        <w:rPr>
          <w:rFonts w:ascii="Times New Roman" w:eastAsia="Times New Roman" w:hAnsi="Times New Roman"/>
          <w:szCs w:val="24"/>
          <w:lang w:eastAsia="pt-BR"/>
        </w:rPr>
        <w:t xml:space="preserve">. Pretende cursar mestrado na área de </w:t>
      </w:r>
      <w:r>
        <w:rPr>
          <w:rFonts w:ascii="Times New Roman" w:eastAsia="Times New Roman" w:hAnsi="Times New Roman"/>
          <w:szCs w:val="24"/>
          <w:lang w:eastAsia="pt-BR"/>
        </w:rPr>
        <w:t>planejamento energético</w:t>
      </w:r>
      <w:r w:rsidRPr="00546830">
        <w:rPr>
          <w:rFonts w:ascii="Times New Roman" w:eastAsia="Times New Roman" w:hAnsi="Times New Roman"/>
          <w:szCs w:val="24"/>
          <w:lang w:eastAsia="pt-BR"/>
        </w:rPr>
        <w:t xml:space="preserve"> e se especializar em energia eólica.</w:t>
      </w:r>
    </w:p>
    <w:p w:rsidR="00DF3856" w:rsidRPr="00DF3856" w:rsidRDefault="00DF3856" w:rsidP="007A0C0D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eastAsia="pt-BR"/>
        </w:rPr>
      </w:pPr>
      <w:r w:rsidRPr="00DF3856">
        <w:rPr>
          <w:rFonts w:ascii="Times New Roman" w:eastAsia="Times New Roman" w:hAnsi="Times New Roman"/>
          <w:b/>
          <w:szCs w:val="24"/>
          <w:lang w:eastAsia="pt-BR"/>
        </w:rPr>
        <w:t>Bruno Soares Moreira Cesar Borba</w:t>
      </w:r>
      <w:r w:rsidRPr="00DF3856">
        <w:rPr>
          <w:rFonts w:ascii="Times New Roman" w:eastAsia="Times New Roman" w:hAnsi="Times New Roman"/>
          <w:szCs w:val="24"/>
          <w:lang w:eastAsia="pt-BR"/>
        </w:rPr>
        <w:t> </w:t>
      </w:r>
      <w:r>
        <w:rPr>
          <w:rFonts w:ascii="Times New Roman" w:eastAsia="Times New Roman" w:hAnsi="Times New Roman"/>
          <w:szCs w:val="24"/>
          <w:lang w:eastAsia="pt-BR"/>
        </w:rPr>
        <w:t>– Graduou-se</w:t>
      </w:r>
      <w:r w:rsidRPr="00DF3856">
        <w:rPr>
          <w:rFonts w:ascii="Times New Roman" w:eastAsia="Times New Roman" w:hAnsi="Times New Roman"/>
          <w:szCs w:val="24"/>
          <w:lang w:eastAsia="pt-BR"/>
        </w:rPr>
        <w:t xml:space="preserve"> em Engenharia Elétrica (2006) pela Universidade Federal do Rio de Janeiro (UFRJ). Recebeu os títulos de Mestre e Doutor em Planejamento Energético pela UFRJ (2008 e 2012). Atualmente é professor adjunto do departamento de Engenharia Elétrica da Universidade Federal Fluminense (UFF), atuando nas áreas de planejamento energético e energia</w:t>
      </w:r>
      <w:r>
        <w:rPr>
          <w:rFonts w:ascii="Times New Roman" w:eastAsia="Times New Roman" w:hAnsi="Times New Roman"/>
          <w:szCs w:val="24"/>
          <w:lang w:eastAsia="pt-BR"/>
        </w:rPr>
        <w:t>s</w:t>
      </w:r>
      <w:r w:rsidRPr="00DF3856">
        <w:rPr>
          <w:rFonts w:ascii="Times New Roman" w:eastAsia="Times New Roman" w:hAnsi="Times New Roman"/>
          <w:szCs w:val="24"/>
          <w:lang w:eastAsia="pt-BR"/>
        </w:rPr>
        <w:t xml:space="preserve"> renováveis.</w:t>
      </w:r>
    </w:p>
    <w:p w:rsidR="007A0C0D" w:rsidRPr="0036461F" w:rsidRDefault="007A0C0D" w:rsidP="007A0C0D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36461F">
        <w:rPr>
          <w:rFonts w:ascii="Times New Roman" w:eastAsia="Times New Roman" w:hAnsi="Times New Roman"/>
          <w:b/>
          <w:szCs w:val="24"/>
          <w:lang w:val="pt-PT" w:eastAsia="pt-BR"/>
        </w:rPr>
        <w:t>Bernardo Bezerra</w:t>
      </w:r>
      <w:r w:rsidRPr="0036461F">
        <w:rPr>
          <w:rFonts w:ascii="Times New Roman" w:eastAsia="Times New Roman" w:hAnsi="Times New Roman"/>
          <w:szCs w:val="24"/>
          <w:lang w:val="pt-PT" w:eastAsia="pt-BR"/>
        </w:rPr>
        <w:t xml:space="preserve"> </w:t>
      </w:r>
      <w:r w:rsidR="0011437D" w:rsidRPr="0036461F">
        <w:rPr>
          <w:rFonts w:ascii="Times New Roman" w:eastAsia="Times New Roman" w:hAnsi="Times New Roman"/>
          <w:szCs w:val="24"/>
          <w:lang w:val="pt-PT" w:eastAsia="pt-BR"/>
        </w:rPr>
        <w:t xml:space="preserve">– </w:t>
      </w:r>
      <w:r w:rsidRPr="0036461F">
        <w:rPr>
          <w:rFonts w:ascii="Times New Roman" w:eastAsia="Times New Roman" w:hAnsi="Times New Roman"/>
          <w:szCs w:val="24"/>
          <w:lang w:val="pt-PT" w:eastAsia="pt-BR"/>
        </w:rPr>
        <w:t>Graduou-se em Engenharia Elétrica e de Produção, é mestre e doutor em Engenharia Elétrica</w:t>
      </w:r>
      <w:r w:rsidR="0036461F">
        <w:rPr>
          <w:rFonts w:ascii="Times New Roman" w:eastAsia="Times New Roman" w:hAnsi="Times New Roman"/>
          <w:szCs w:val="24"/>
          <w:lang w:val="pt-PT" w:eastAsia="pt-BR"/>
        </w:rPr>
        <w:t xml:space="preserve"> pela PUC RJ</w:t>
      </w:r>
      <w:r w:rsidRPr="0036461F">
        <w:rPr>
          <w:rFonts w:ascii="Times New Roman" w:eastAsia="Times New Roman" w:hAnsi="Times New Roman"/>
          <w:szCs w:val="24"/>
          <w:lang w:val="pt-PT" w:eastAsia="pt-BR"/>
        </w:rPr>
        <w:t>. Ingressou na PSR em 2004 onde atualmente é Diretor Técnico. É autor e co-autor de mais de 25 artigos técnicos em revistas e conferências nacionais/internacionais. Tem sido palestrante em conferências e seminários no Brasil e exterior.</w:t>
      </w:r>
    </w:p>
    <w:p w:rsidR="007A0C0D" w:rsidRPr="0036461F" w:rsidRDefault="007A0C0D" w:rsidP="007A0C0D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36461F">
        <w:rPr>
          <w:rFonts w:ascii="Times New Roman" w:eastAsia="Times New Roman" w:hAnsi="Times New Roman"/>
          <w:b/>
          <w:szCs w:val="24"/>
          <w:lang w:val="pt-PT" w:eastAsia="pt-BR"/>
        </w:rPr>
        <w:t>Martha Rosa Martins Carvalho</w:t>
      </w:r>
      <w:r w:rsidRPr="0036461F">
        <w:rPr>
          <w:rFonts w:ascii="Times New Roman" w:eastAsia="Times New Roman" w:hAnsi="Times New Roman"/>
          <w:szCs w:val="24"/>
          <w:lang w:val="pt-PT" w:eastAsia="pt-BR"/>
        </w:rPr>
        <w:t xml:space="preserve"> – </w:t>
      </w:r>
      <w:r w:rsidR="0036461F">
        <w:rPr>
          <w:rFonts w:ascii="Times New Roman" w:eastAsia="Times New Roman" w:hAnsi="Times New Roman"/>
          <w:szCs w:val="24"/>
          <w:lang w:val="pt-PT" w:eastAsia="pt-BR"/>
        </w:rPr>
        <w:t>Graduou-se</w:t>
      </w:r>
      <w:r w:rsidR="00540972">
        <w:rPr>
          <w:rFonts w:ascii="Times New Roman" w:eastAsia="Times New Roman" w:hAnsi="Times New Roman"/>
          <w:szCs w:val="24"/>
          <w:lang w:val="pt-PT" w:eastAsia="pt-BR"/>
        </w:rPr>
        <w:t xml:space="preserve"> em Engenharia E</w:t>
      </w:r>
      <w:r w:rsidRPr="0036461F">
        <w:rPr>
          <w:rFonts w:ascii="Times New Roman" w:eastAsia="Times New Roman" w:hAnsi="Times New Roman"/>
          <w:szCs w:val="24"/>
          <w:lang w:val="pt-PT" w:eastAsia="pt-BR"/>
        </w:rPr>
        <w:t>létrica com ênfase em Sistemas de Potência pela Universidade Federal Fluminense (UFF) em 2009</w:t>
      </w:r>
      <w:r w:rsidR="0036461F">
        <w:rPr>
          <w:rFonts w:ascii="Times New Roman" w:eastAsia="Times New Roman" w:hAnsi="Times New Roman"/>
          <w:szCs w:val="24"/>
          <w:lang w:val="pt-PT" w:eastAsia="pt-BR"/>
        </w:rPr>
        <w:t>. É</w:t>
      </w:r>
      <w:r w:rsidRPr="0036461F">
        <w:rPr>
          <w:rFonts w:ascii="Times New Roman" w:eastAsia="Times New Roman" w:hAnsi="Times New Roman"/>
          <w:szCs w:val="24"/>
          <w:lang w:val="pt-PT" w:eastAsia="pt-BR"/>
        </w:rPr>
        <w:t xml:space="preserve"> mestre pela Universidade Federal do Rio de Janeiro (UFRJ) </w:t>
      </w:r>
      <w:r w:rsidR="0036461F">
        <w:rPr>
          <w:rFonts w:ascii="Times New Roman" w:eastAsia="Times New Roman" w:hAnsi="Times New Roman"/>
          <w:szCs w:val="24"/>
          <w:lang w:val="pt-PT" w:eastAsia="pt-BR"/>
        </w:rPr>
        <w:t>desde</w:t>
      </w:r>
      <w:r w:rsidRPr="0036461F">
        <w:rPr>
          <w:rFonts w:ascii="Times New Roman" w:eastAsia="Times New Roman" w:hAnsi="Times New Roman"/>
          <w:szCs w:val="24"/>
          <w:lang w:val="pt-PT" w:eastAsia="pt-BR"/>
        </w:rPr>
        <w:t xml:space="preserve"> 2013. Atualmente está cursando MBA em Finanças corporativas pela Fundação Getúlio Vargas (FGV). Atua desde 2008 na área de planejamento do sistema elétrico brasileiro, com áreas de interesse em transmissão e geração. Atualmente trabalha em estudos energéticos, executando atividades como projeção de preços de curto prazo e a</w:t>
      </w:r>
      <w:r w:rsidR="0036461F" w:rsidRPr="0036461F">
        <w:rPr>
          <w:rFonts w:ascii="Times New Roman" w:eastAsia="Times New Roman" w:hAnsi="Times New Roman"/>
          <w:szCs w:val="24"/>
          <w:lang w:val="pt-PT" w:eastAsia="pt-BR"/>
        </w:rPr>
        <w:t>nálise de risco de racionamento na PSR.</w:t>
      </w:r>
    </w:p>
    <w:p w:rsidR="00DA0BB4" w:rsidRPr="00DA0BB4" w:rsidRDefault="00DA0BB4" w:rsidP="00DA0BB4">
      <w:pPr>
        <w:spacing w:before="120" w:line="360" w:lineRule="auto"/>
        <w:jc w:val="both"/>
        <w:rPr>
          <w:rFonts w:ascii="Times New Roman" w:eastAsia="Times New Roman" w:hAnsi="Times New Roman"/>
          <w:szCs w:val="24"/>
          <w:lang w:val="pt-PT" w:eastAsia="pt-BR"/>
        </w:rPr>
      </w:pPr>
      <w:r w:rsidRPr="00DA0BB4">
        <w:rPr>
          <w:rFonts w:ascii="Times New Roman" w:eastAsia="Times New Roman" w:hAnsi="Times New Roman"/>
          <w:b/>
          <w:szCs w:val="24"/>
          <w:lang w:val="pt-PT" w:eastAsia="pt-BR"/>
        </w:rPr>
        <w:t xml:space="preserve">Celso </w:t>
      </w:r>
      <w:r w:rsidR="00947C8A">
        <w:rPr>
          <w:rFonts w:ascii="Times New Roman" w:eastAsia="Times New Roman" w:hAnsi="Times New Roman"/>
          <w:b/>
          <w:szCs w:val="24"/>
          <w:lang w:val="pt-PT" w:eastAsia="pt-BR"/>
        </w:rPr>
        <w:t xml:space="preserve">Eduardo Ramos Campos </w:t>
      </w:r>
      <w:r w:rsidRPr="00DA0BB4">
        <w:rPr>
          <w:rFonts w:ascii="Times New Roman" w:eastAsia="Times New Roman" w:hAnsi="Times New Roman"/>
          <w:b/>
          <w:szCs w:val="24"/>
          <w:lang w:val="pt-PT" w:eastAsia="pt-BR"/>
        </w:rPr>
        <w:t>Dall’Orto</w:t>
      </w:r>
      <w:r>
        <w:rPr>
          <w:rFonts w:ascii="Times New Roman" w:eastAsia="Times New Roman" w:hAnsi="Times New Roman"/>
          <w:szCs w:val="24"/>
          <w:lang w:val="pt-PT" w:eastAsia="pt-BR"/>
        </w:rPr>
        <w:t xml:space="preserve"> – Graduou-se </w:t>
      </w:r>
      <w:r w:rsidRPr="00DA0BB4">
        <w:rPr>
          <w:rFonts w:ascii="Times New Roman" w:eastAsia="Times New Roman" w:hAnsi="Times New Roman"/>
          <w:szCs w:val="24"/>
          <w:lang w:val="pt-PT" w:eastAsia="pt-BR"/>
        </w:rPr>
        <w:t>em Engenharia Elétrica com ênfase em Telec</w:t>
      </w:r>
      <w:r>
        <w:rPr>
          <w:rFonts w:ascii="Times New Roman" w:eastAsia="Times New Roman" w:hAnsi="Times New Roman"/>
          <w:szCs w:val="24"/>
          <w:lang w:val="pt-PT" w:eastAsia="pt-BR"/>
        </w:rPr>
        <w:t>omunicações pela PUC- Campinas, é</w:t>
      </w:r>
      <w:r w:rsidRPr="00DA0BB4">
        <w:rPr>
          <w:rFonts w:ascii="Times New Roman" w:eastAsia="Times New Roman" w:hAnsi="Times New Roman"/>
          <w:szCs w:val="24"/>
          <w:lang w:val="pt-PT" w:eastAsia="pt-BR"/>
        </w:rPr>
        <w:t xml:space="preserve"> Especialista em geração de energia elétrica pela Universidade Federal de Itajubá, onde atualmente está terminando o mestrado em planejamento de sistemas elétricos. Trabalhou na área de planejamento energético e análise de risco da comercialização de energia do grupo CPFL de 2006 a 2015, dando suporte às áreas de geração, distribuição, comercialização, energias renováveis, novos negócios, pesquisa e desenvolvimento e relações com investidores.</w:t>
      </w:r>
    </w:p>
    <w:p w:rsidR="00645A73" w:rsidRPr="0011437D" w:rsidRDefault="00645A73" w:rsidP="0011437D"/>
    <w:sectPr w:rsidR="00645A73" w:rsidRPr="0011437D" w:rsidSect="00E006CB">
      <w:headerReference w:type="default" r:id="rId24"/>
      <w:footerReference w:type="default" r:id="rId25"/>
      <w:pgSz w:w="11904" w:h="16834"/>
      <w:pgMar w:top="2835" w:right="847" w:bottom="1276" w:left="709" w:header="568" w:footer="5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D13" w:rsidRDefault="00080D13">
      <w:r>
        <w:separator/>
      </w:r>
    </w:p>
  </w:endnote>
  <w:endnote w:type="continuationSeparator" w:id="0">
    <w:p w:rsidR="00080D13" w:rsidRDefault="00080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548" w:rsidRPr="00435100" w:rsidRDefault="001B0DB1" w:rsidP="00267548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562725" cy="285750"/>
          <wp:effectExtent l="0" t="0" r="9525" b="0"/>
          <wp:docPr id="2" name="Imagem 2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D13" w:rsidRDefault="00080D13">
      <w:r>
        <w:separator/>
      </w:r>
    </w:p>
  </w:footnote>
  <w:footnote w:type="continuationSeparator" w:id="0">
    <w:p w:rsidR="00080D13" w:rsidRDefault="00080D13">
      <w:r>
        <w:continuationSeparator/>
      </w:r>
    </w:p>
  </w:footnote>
  <w:footnote w:id="1">
    <w:p w:rsidR="00F938F9" w:rsidRDefault="00F938F9">
      <w:pPr>
        <w:pStyle w:val="Textodenotaderodap"/>
      </w:pPr>
      <w:r>
        <w:rPr>
          <w:rStyle w:val="Refdenotaderodap"/>
        </w:rPr>
        <w:footnoteRef/>
      </w:r>
      <w:r>
        <w:t xml:space="preserve"> Premissas baseadas na contratação de oferta das distribuidoras de modo a atender a demanda utilizada no caso.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548" w:rsidRDefault="001B0DB1" w:rsidP="00267548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6572250" cy="1181100"/>
          <wp:effectExtent l="0" t="0" r="0" b="0"/>
          <wp:docPr id="1" name="Imagem 1" descr="cab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530128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1"/>
    <w:lvl w:ilvl="0">
      <w:start w:val="1"/>
      <w:numFmt w:val="decimal"/>
      <w:lvlText w:val="[%1]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25D63A06"/>
    <w:multiLevelType w:val="hybridMultilevel"/>
    <w:tmpl w:val="746023EC"/>
    <w:lvl w:ilvl="0" w:tplc="89CCC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A4D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120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9CC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BE3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C6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A1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6B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E4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F67070"/>
    <w:multiLevelType w:val="hybridMultilevel"/>
    <w:tmpl w:val="748EFA82"/>
    <w:lvl w:ilvl="0" w:tplc="04160001">
      <w:start w:val="1"/>
      <w:numFmt w:val="bullet"/>
      <w:pStyle w:val="T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05170"/>
    <w:multiLevelType w:val="hybridMultilevel"/>
    <w:tmpl w:val="1952E7F4"/>
    <w:lvl w:ilvl="0" w:tplc="362A3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540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23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72D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E5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805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604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0C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2C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78D790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84C2E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7E57C35"/>
    <w:multiLevelType w:val="multilevel"/>
    <w:tmpl w:val="6D467D4A"/>
    <w:lvl w:ilvl="0">
      <w:start w:val="1"/>
      <w:numFmt w:val="decimal"/>
      <w:pStyle w:val="TCC1"/>
      <w:lvlText w:val="%1."/>
      <w:lvlJc w:val="left"/>
      <w:pPr>
        <w:ind w:left="360" w:hanging="360"/>
      </w:pPr>
    </w:lvl>
    <w:lvl w:ilvl="1">
      <w:start w:val="1"/>
      <w:numFmt w:val="decimal"/>
      <w:pStyle w:val="TCC2"/>
      <w:lvlText w:val="%1.%2."/>
      <w:lvlJc w:val="left"/>
      <w:pPr>
        <w:ind w:left="792" w:hanging="432"/>
      </w:pPr>
    </w:lvl>
    <w:lvl w:ilvl="2">
      <w:start w:val="1"/>
      <w:numFmt w:val="decimal"/>
      <w:pStyle w:val="TCC3"/>
      <w:lvlText w:val="%1.%2.%3."/>
      <w:lvlJc w:val="left"/>
      <w:pPr>
        <w:ind w:left="1224" w:hanging="504"/>
      </w:pPr>
    </w:lvl>
    <w:lvl w:ilvl="3">
      <w:start w:val="1"/>
      <w:numFmt w:val="decimal"/>
      <w:pStyle w:val="TCC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4CA34FE"/>
    <w:multiLevelType w:val="hybridMultilevel"/>
    <w:tmpl w:val="7202557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F8C6190"/>
    <w:multiLevelType w:val="multilevel"/>
    <w:tmpl w:val="FAE25C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559" w:hanging="432"/>
      </w:pPr>
    </w:lvl>
    <w:lvl w:ilvl="2">
      <w:start w:val="1"/>
      <w:numFmt w:val="decimal"/>
      <w:pStyle w:val="Estilo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91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7"/>
    <w:lvlOverride w:ilvl="0">
      <w:lvl w:ilvl="0">
        <w:start w:val="1"/>
        <w:numFmt w:val="decimal"/>
        <w:pStyle w:val="TCC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CC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TCC3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pStyle w:val="TCC4"/>
        <w:lvlText w:val="%1.%2.%3.%4."/>
        <w:lvlJc w:val="left"/>
        <w:pPr>
          <w:tabs>
            <w:tab w:val="num" w:pos="1418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>
    <w:abstractNumId w:val="5"/>
  </w:num>
  <w:num w:numId="7">
    <w:abstractNumId w:val="3"/>
  </w:num>
  <w:num w:numId="8">
    <w:abstractNumId w:val="6"/>
  </w:num>
  <w:num w:numId="9">
    <w:abstractNumId w:val="7"/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4"/>
  </w:num>
  <w:num w:numId="25">
    <w:abstractNumId w:val="2"/>
  </w:num>
  <w:num w:numId="26">
    <w:abstractNumId w:val="8"/>
  </w:num>
  <w:num w:numId="27">
    <w:abstractNumId w:val="3"/>
  </w:num>
  <w:num w:numId="28">
    <w:abstractNumId w:val="3"/>
  </w:num>
  <w:num w:numId="2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rnardo V. Bezerra">
    <w15:presenceInfo w15:providerId="None" w15:userId="Bernardo V. Bezerr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53C99"/>
    <w:rsid w:val="0003001C"/>
    <w:rsid w:val="000500E5"/>
    <w:rsid w:val="00057BC4"/>
    <w:rsid w:val="00067227"/>
    <w:rsid w:val="00080D13"/>
    <w:rsid w:val="00096B96"/>
    <w:rsid w:val="000A1EB9"/>
    <w:rsid w:val="000A2DE2"/>
    <w:rsid w:val="000B1456"/>
    <w:rsid w:val="000B7232"/>
    <w:rsid w:val="000D5AB6"/>
    <w:rsid w:val="0011437D"/>
    <w:rsid w:val="00124489"/>
    <w:rsid w:val="001507EF"/>
    <w:rsid w:val="00166E8C"/>
    <w:rsid w:val="001A5A3C"/>
    <w:rsid w:val="001B0DB1"/>
    <w:rsid w:val="001C1989"/>
    <w:rsid w:val="001E4D24"/>
    <w:rsid w:val="001F636D"/>
    <w:rsid w:val="002113B0"/>
    <w:rsid w:val="00222918"/>
    <w:rsid w:val="00225C71"/>
    <w:rsid w:val="00267548"/>
    <w:rsid w:val="0026793A"/>
    <w:rsid w:val="00273CA1"/>
    <w:rsid w:val="00304C8E"/>
    <w:rsid w:val="00325330"/>
    <w:rsid w:val="00330D24"/>
    <w:rsid w:val="00332BC7"/>
    <w:rsid w:val="003334BE"/>
    <w:rsid w:val="003636A0"/>
    <w:rsid w:val="0036461F"/>
    <w:rsid w:val="003859B7"/>
    <w:rsid w:val="00385D70"/>
    <w:rsid w:val="0039362C"/>
    <w:rsid w:val="003A7177"/>
    <w:rsid w:val="003B593C"/>
    <w:rsid w:val="003B6AF0"/>
    <w:rsid w:val="003B7C3F"/>
    <w:rsid w:val="003D2086"/>
    <w:rsid w:val="00433A49"/>
    <w:rsid w:val="00450C90"/>
    <w:rsid w:val="00453C99"/>
    <w:rsid w:val="00476998"/>
    <w:rsid w:val="005200B1"/>
    <w:rsid w:val="0052341C"/>
    <w:rsid w:val="00536B79"/>
    <w:rsid w:val="00540972"/>
    <w:rsid w:val="00541309"/>
    <w:rsid w:val="00546830"/>
    <w:rsid w:val="00550280"/>
    <w:rsid w:val="00582F2A"/>
    <w:rsid w:val="005902CF"/>
    <w:rsid w:val="00597B58"/>
    <w:rsid w:val="005E6368"/>
    <w:rsid w:val="00607252"/>
    <w:rsid w:val="006076DE"/>
    <w:rsid w:val="00610032"/>
    <w:rsid w:val="00645A73"/>
    <w:rsid w:val="00667473"/>
    <w:rsid w:val="00686BA2"/>
    <w:rsid w:val="00690689"/>
    <w:rsid w:val="006960D5"/>
    <w:rsid w:val="006B1105"/>
    <w:rsid w:val="006B4688"/>
    <w:rsid w:val="006C5AED"/>
    <w:rsid w:val="006E2939"/>
    <w:rsid w:val="00721D88"/>
    <w:rsid w:val="007514BF"/>
    <w:rsid w:val="00763729"/>
    <w:rsid w:val="00786B24"/>
    <w:rsid w:val="007A0C0D"/>
    <w:rsid w:val="008244E1"/>
    <w:rsid w:val="008274E9"/>
    <w:rsid w:val="00832150"/>
    <w:rsid w:val="00883418"/>
    <w:rsid w:val="0089020F"/>
    <w:rsid w:val="008B6097"/>
    <w:rsid w:val="008B651B"/>
    <w:rsid w:val="008D28E5"/>
    <w:rsid w:val="008E3D76"/>
    <w:rsid w:val="00900B57"/>
    <w:rsid w:val="0090508B"/>
    <w:rsid w:val="00944261"/>
    <w:rsid w:val="00947C8A"/>
    <w:rsid w:val="00955FC8"/>
    <w:rsid w:val="00970724"/>
    <w:rsid w:val="00993A4C"/>
    <w:rsid w:val="00A11FDF"/>
    <w:rsid w:val="00A564D9"/>
    <w:rsid w:val="00A64061"/>
    <w:rsid w:val="00A755D5"/>
    <w:rsid w:val="00AB6236"/>
    <w:rsid w:val="00AD0D49"/>
    <w:rsid w:val="00AD7A63"/>
    <w:rsid w:val="00B14077"/>
    <w:rsid w:val="00B25312"/>
    <w:rsid w:val="00B60C82"/>
    <w:rsid w:val="00B61187"/>
    <w:rsid w:val="00B678C2"/>
    <w:rsid w:val="00B905DB"/>
    <w:rsid w:val="00BB75EA"/>
    <w:rsid w:val="00BE6E5F"/>
    <w:rsid w:val="00BF4C4A"/>
    <w:rsid w:val="00BF4F82"/>
    <w:rsid w:val="00C06215"/>
    <w:rsid w:val="00C5445A"/>
    <w:rsid w:val="00C70944"/>
    <w:rsid w:val="00C72F18"/>
    <w:rsid w:val="00C75686"/>
    <w:rsid w:val="00C97238"/>
    <w:rsid w:val="00CA6C9E"/>
    <w:rsid w:val="00D53423"/>
    <w:rsid w:val="00DA0BB4"/>
    <w:rsid w:val="00DE3DF9"/>
    <w:rsid w:val="00DF3856"/>
    <w:rsid w:val="00E006CB"/>
    <w:rsid w:val="00E11AC1"/>
    <w:rsid w:val="00E16CDA"/>
    <w:rsid w:val="00E529FA"/>
    <w:rsid w:val="00E84191"/>
    <w:rsid w:val="00EB252B"/>
    <w:rsid w:val="00EC3823"/>
    <w:rsid w:val="00EE6505"/>
    <w:rsid w:val="00EE7E64"/>
    <w:rsid w:val="00F01EAC"/>
    <w:rsid w:val="00F12BF8"/>
    <w:rsid w:val="00F40397"/>
    <w:rsid w:val="00F43729"/>
    <w:rsid w:val="00F4439F"/>
    <w:rsid w:val="00F552DF"/>
    <w:rsid w:val="00F74CB6"/>
    <w:rsid w:val="00F938F9"/>
    <w:rsid w:val="00F97160"/>
    <w:rsid w:val="00FD6FC6"/>
    <w:rsid w:val="00FE1E8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902CF"/>
    <w:rPr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1437D"/>
    <w:pPr>
      <w:keepNext/>
      <w:numPr>
        <w:numId w:val="1"/>
      </w:numPr>
      <w:suppressAutoHyphens/>
      <w:spacing w:before="240" w:after="240"/>
      <w:outlineLvl w:val="0"/>
    </w:pPr>
    <w:rPr>
      <w:b/>
      <w:caps/>
      <w:lang w:val="en-US" w:eastAsia="zh-CN"/>
    </w:rPr>
  </w:style>
  <w:style w:type="paragraph" w:styleId="Ttulo2">
    <w:name w:val="heading 2"/>
    <w:basedOn w:val="Normal"/>
    <w:next w:val="Normal"/>
    <w:link w:val="Ttulo2Char"/>
    <w:qFormat/>
    <w:rsid w:val="0011437D"/>
    <w:pPr>
      <w:keepNext/>
      <w:numPr>
        <w:ilvl w:val="1"/>
        <w:numId w:val="1"/>
      </w:numPr>
      <w:suppressAutoHyphens/>
      <w:spacing w:after="240"/>
      <w:ind w:left="567" w:hanging="567"/>
      <w:jc w:val="both"/>
      <w:outlineLvl w:val="1"/>
    </w:pPr>
    <w:rPr>
      <w:rFonts w:ascii="Times New Roman" w:eastAsia="Times New Roman" w:hAnsi="Times New Roman"/>
      <w:b/>
      <w:lang w:val="en-GB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5902C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5902CF"/>
    <w:pPr>
      <w:tabs>
        <w:tab w:val="center" w:pos="4320"/>
        <w:tab w:val="right" w:pos="8640"/>
      </w:tabs>
    </w:pPr>
  </w:style>
  <w:style w:type="character" w:customStyle="1" w:styleId="WW-Absatz-Standardschriftart1">
    <w:name w:val="WW-Absatz-Standardschriftart1"/>
    <w:rsid w:val="005902CF"/>
  </w:style>
  <w:style w:type="paragraph" w:styleId="Corpodetexto">
    <w:name w:val="Body Text"/>
    <w:basedOn w:val="Normal"/>
    <w:rsid w:val="005902CF"/>
    <w:rPr>
      <w:sz w:val="20"/>
    </w:rPr>
  </w:style>
  <w:style w:type="character" w:styleId="Hyperlink">
    <w:name w:val="Hyperlink"/>
    <w:uiPriority w:val="99"/>
    <w:unhideWhenUsed/>
    <w:rsid w:val="001B0DB1"/>
    <w:rPr>
      <w:color w:val="0563C1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1B0DB1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  <w:style w:type="character" w:customStyle="1" w:styleId="Ttulo1Char">
    <w:name w:val="Título 1 Char"/>
    <w:basedOn w:val="Fontepargpadro"/>
    <w:link w:val="Ttulo1"/>
    <w:uiPriority w:val="9"/>
    <w:rsid w:val="0011437D"/>
    <w:rPr>
      <w:b/>
      <w:caps/>
      <w:sz w:val="24"/>
      <w:lang w:val="en-US" w:eastAsia="zh-CN"/>
    </w:rPr>
  </w:style>
  <w:style w:type="character" w:customStyle="1" w:styleId="Ttulo2Char">
    <w:name w:val="Título 2 Char"/>
    <w:basedOn w:val="Fontepargpadro"/>
    <w:link w:val="Ttulo2"/>
    <w:rsid w:val="0011437D"/>
    <w:rPr>
      <w:rFonts w:ascii="Times New Roman" w:eastAsia="Times New Roman" w:hAnsi="Times New Roman"/>
      <w:b/>
      <w:sz w:val="24"/>
      <w:lang w:val="en-GB" w:eastAsia="zh-CN"/>
    </w:rPr>
  </w:style>
  <w:style w:type="character" w:customStyle="1" w:styleId="apple-style-span">
    <w:name w:val="apple-style-span"/>
    <w:rsid w:val="0011437D"/>
    <w:rPr>
      <w:rFonts w:cs="Times New Roman"/>
    </w:rPr>
  </w:style>
  <w:style w:type="character" w:customStyle="1" w:styleId="shorttext">
    <w:name w:val="short_text"/>
    <w:rsid w:val="0011437D"/>
    <w:rPr>
      <w:rFonts w:cs="Times New Roman"/>
    </w:rPr>
  </w:style>
  <w:style w:type="character" w:customStyle="1" w:styleId="hps">
    <w:name w:val="hps"/>
    <w:rsid w:val="0011437D"/>
    <w:rPr>
      <w:rFonts w:cs="Times New Roman"/>
    </w:rPr>
  </w:style>
  <w:style w:type="paragraph" w:customStyle="1" w:styleId="Titleofthepaper">
    <w:name w:val="Title of the paper"/>
    <w:rsid w:val="0011437D"/>
    <w:pPr>
      <w:suppressAutoHyphens/>
      <w:jc w:val="center"/>
    </w:pPr>
    <w:rPr>
      <w:rFonts w:ascii="Arial" w:hAnsi="Arial" w:cs="Arial"/>
      <w:b/>
      <w:sz w:val="28"/>
      <w:lang w:val="en-US" w:eastAsia="zh-CN"/>
    </w:rPr>
  </w:style>
  <w:style w:type="paragraph" w:customStyle="1" w:styleId="Authorname">
    <w:name w:val="Author name"/>
    <w:rsid w:val="0011437D"/>
    <w:pPr>
      <w:suppressAutoHyphens/>
      <w:spacing w:before="240"/>
      <w:jc w:val="center"/>
    </w:pPr>
    <w:rPr>
      <w:b/>
      <w:sz w:val="24"/>
      <w:lang w:val="en-US" w:eastAsia="zh-CN"/>
    </w:rPr>
  </w:style>
  <w:style w:type="paragraph" w:customStyle="1" w:styleId="AuthorAffilliation">
    <w:name w:val="Author Affilliation"/>
    <w:rsid w:val="0011437D"/>
    <w:pPr>
      <w:suppressAutoHyphens/>
      <w:jc w:val="center"/>
    </w:pPr>
    <w:rPr>
      <w:sz w:val="24"/>
      <w:lang w:val="en-US" w:eastAsia="zh-CN"/>
    </w:rPr>
  </w:style>
  <w:style w:type="paragraph" w:customStyle="1" w:styleId="HeaderAbs">
    <w:name w:val="Header (Abs."/>
    <w:basedOn w:val="Ttulo1"/>
    <w:rsid w:val="0011437D"/>
    <w:pPr>
      <w:numPr>
        <w:numId w:val="0"/>
      </w:numPr>
      <w:outlineLvl w:val="9"/>
    </w:pPr>
  </w:style>
  <w:style w:type="paragraph" w:customStyle="1" w:styleId="Equation">
    <w:name w:val="Equation"/>
    <w:basedOn w:val="Normal"/>
    <w:next w:val="Normal"/>
    <w:rsid w:val="0011437D"/>
    <w:pPr>
      <w:suppressAutoHyphens/>
      <w:spacing w:before="120" w:after="120" w:line="260" w:lineRule="atLeast"/>
      <w:jc w:val="both"/>
    </w:pPr>
    <w:rPr>
      <w:rFonts w:ascii="Times New Roman" w:eastAsia="Times New Roman" w:hAnsi="Times New Roman"/>
      <w:sz w:val="22"/>
      <w:lang w:val="en-GB" w:eastAsia="zh-CN"/>
    </w:rPr>
  </w:style>
  <w:style w:type="paragraph" w:customStyle="1" w:styleId="TableCaption">
    <w:name w:val="Table_Caption"/>
    <w:basedOn w:val="Normal"/>
    <w:rsid w:val="0011437D"/>
    <w:pPr>
      <w:keepNext/>
      <w:suppressAutoHyphens/>
      <w:spacing w:before="240" w:after="120"/>
      <w:jc w:val="center"/>
    </w:pPr>
    <w:rPr>
      <w:rFonts w:ascii="Times New Roman" w:eastAsia="Times New Roman" w:hAnsi="Times New Roman"/>
      <w:sz w:val="20"/>
      <w:szCs w:val="24"/>
      <w:lang w:val="en-GB" w:eastAsia="zh-CN"/>
    </w:rPr>
  </w:style>
  <w:style w:type="paragraph" w:customStyle="1" w:styleId="FigurecaptionDRCN">
    <w:name w:val="Figure caption DRCN"/>
    <w:basedOn w:val="Normal"/>
    <w:next w:val="Normal"/>
    <w:rsid w:val="0011437D"/>
    <w:pPr>
      <w:suppressAutoHyphens/>
      <w:spacing w:after="240"/>
      <w:jc w:val="center"/>
    </w:pPr>
    <w:rPr>
      <w:rFonts w:ascii="Times New Roman" w:eastAsia="Times New Roman" w:hAnsi="Times New Roman"/>
      <w:sz w:val="16"/>
      <w:szCs w:val="24"/>
      <w:lang w:val="en-CA" w:eastAsia="zh-CN"/>
    </w:rPr>
  </w:style>
  <w:style w:type="paragraph" w:customStyle="1" w:styleId="Text">
    <w:name w:val="Text"/>
    <w:basedOn w:val="Normal"/>
    <w:rsid w:val="0011437D"/>
    <w:pPr>
      <w:widowControl w:val="0"/>
      <w:suppressAutoHyphens/>
      <w:autoSpaceDE w:val="0"/>
      <w:spacing w:line="252" w:lineRule="auto"/>
      <w:ind w:firstLine="202"/>
      <w:jc w:val="both"/>
    </w:pPr>
    <w:rPr>
      <w:rFonts w:ascii="Times New Roman" w:eastAsia="Times New Roman" w:hAnsi="Times New Roman" w:cs="Angsana New"/>
      <w:sz w:val="20"/>
      <w:lang w:val="en-US" w:eastAsia="zh-CN"/>
    </w:rPr>
  </w:style>
  <w:style w:type="paragraph" w:styleId="NormalWeb">
    <w:name w:val="Normal (Web)"/>
    <w:basedOn w:val="Normal"/>
    <w:rsid w:val="0011437D"/>
    <w:pPr>
      <w:suppressAutoHyphens/>
      <w:spacing w:before="280" w:after="280"/>
    </w:pPr>
    <w:rPr>
      <w:rFonts w:ascii="Times New Roman" w:eastAsia="Times New Roman" w:hAnsi="Times New Roman" w:cs="Angsana New"/>
      <w:szCs w:val="24"/>
      <w:lang w:val="en-US" w:eastAsia="zh-CN"/>
    </w:rPr>
  </w:style>
  <w:style w:type="paragraph" w:customStyle="1" w:styleId="FigureCaption">
    <w:name w:val="Figure Caption"/>
    <w:basedOn w:val="Normal"/>
    <w:rsid w:val="0011437D"/>
    <w:pPr>
      <w:suppressAutoHyphens/>
      <w:autoSpaceDE w:val="0"/>
      <w:jc w:val="both"/>
    </w:pPr>
    <w:rPr>
      <w:rFonts w:ascii="Times New Roman" w:eastAsia="Times New Roman" w:hAnsi="Times New Roman"/>
      <w:sz w:val="16"/>
      <w:szCs w:val="16"/>
      <w:lang w:val="en-US"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08B"/>
    <w:rPr>
      <w:rFonts w:ascii="Tahoma" w:hAnsi="Tahoma" w:cs="Tahoma"/>
      <w:sz w:val="16"/>
      <w:szCs w:val="16"/>
      <w:lang w:eastAsia="en-US"/>
    </w:rPr>
  </w:style>
  <w:style w:type="paragraph" w:customStyle="1" w:styleId="TCC1">
    <w:name w:val="TCC 1"/>
    <w:basedOn w:val="PargrafodaLista"/>
    <w:link w:val="TCC1Char"/>
    <w:qFormat/>
    <w:rsid w:val="00597B58"/>
    <w:pPr>
      <w:numPr>
        <w:numId w:val="4"/>
      </w:numPr>
      <w:spacing w:before="1800" w:after="200" w:line="276" w:lineRule="auto"/>
      <w:ind w:left="357" w:hanging="357"/>
      <w:contextualSpacing w:val="0"/>
      <w:outlineLvl w:val="0"/>
    </w:pPr>
    <w:rPr>
      <w:rFonts w:ascii="Times New Roman" w:eastAsiaTheme="minorHAnsi" w:hAnsi="Times New Roman" w:cs="Times New Roman"/>
      <w:b/>
      <w:sz w:val="24"/>
      <w:szCs w:val="24"/>
      <w:lang w:val="pt-BR"/>
    </w:rPr>
  </w:style>
  <w:style w:type="paragraph" w:customStyle="1" w:styleId="TCC2">
    <w:name w:val="TCC 2"/>
    <w:basedOn w:val="TCC1"/>
    <w:link w:val="TCC2Char"/>
    <w:qFormat/>
    <w:rsid w:val="00597B58"/>
    <w:pPr>
      <w:numPr>
        <w:ilvl w:val="1"/>
      </w:numPr>
      <w:spacing w:before="240"/>
      <w:outlineLvl w:val="1"/>
    </w:pPr>
  </w:style>
  <w:style w:type="paragraph" w:customStyle="1" w:styleId="TCC3">
    <w:name w:val="TCC 3"/>
    <w:basedOn w:val="TCC2"/>
    <w:link w:val="TCC3Char"/>
    <w:qFormat/>
    <w:rsid w:val="00597B58"/>
    <w:pPr>
      <w:numPr>
        <w:ilvl w:val="2"/>
      </w:numPr>
      <w:tabs>
        <w:tab w:val="num" w:pos="360"/>
      </w:tabs>
      <w:outlineLvl w:val="2"/>
    </w:pPr>
  </w:style>
  <w:style w:type="character" w:customStyle="1" w:styleId="TCC2Char">
    <w:name w:val="TCC 2 Char"/>
    <w:basedOn w:val="Fontepargpadro"/>
    <w:link w:val="TCC2"/>
    <w:rsid w:val="00597B58"/>
    <w:rPr>
      <w:rFonts w:ascii="Times New Roman" w:eastAsiaTheme="minorHAnsi" w:hAnsi="Times New Roman"/>
      <w:b/>
      <w:sz w:val="24"/>
      <w:szCs w:val="24"/>
      <w:lang w:eastAsia="en-US"/>
    </w:rPr>
  </w:style>
  <w:style w:type="paragraph" w:customStyle="1" w:styleId="TCC4">
    <w:name w:val="TCC 4"/>
    <w:basedOn w:val="TCC3"/>
    <w:qFormat/>
    <w:rsid w:val="00597B58"/>
    <w:pPr>
      <w:numPr>
        <w:ilvl w:val="3"/>
      </w:numPr>
      <w:tabs>
        <w:tab w:val="num" w:pos="360"/>
      </w:tabs>
      <w:outlineLvl w:val="3"/>
    </w:pPr>
  </w:style>
  <w:style w:type="paragraph" w:customStyle="1" w:styleId="TCCFigura">
    <w:name w:val="TCC Figura"/>
    <w:basedOn w:val="Legenda"/>
    <w:link w:val="TCCFiguraChar"/>
    <w:qFormat/>
    <w:rsid w:val="00597B58"/>
    <w:pPr>
      <w:jc w:val="center"/>
    </w:pPr>
    <w:rPr>
      <w:rFonts w:ascii="Times New Roman" w:eastAsiaTheme="minorHAnsi" w:hAnsi="Times New Roman"/>
      <w:color w:val="auto"/>
      <w:sz w:val="20"/>
      <w:szCs w:val="20"/>
    </w:rPr>
  </w:style>
  <w:style w:type="paragraph" w:customStyle="1" w:styleId="Tabela">
    <w:name w:val="Tabela"/>
    <w:basedOn w:val="Legenda"/>
    <w:link w:val="TabelaChar"/>
    <w:qFormat/>
    <w:rsid w:val="00597B58"/>
    <w:pPr>
      <w:keepNext/>
      <w:jc w:val="center"/>
    </w:pPr>
    <w:rPr>
      <w:rFonts w:ascii="Times New Roman" w:eastAsiaTheme="minorHAnsi" w:hAnsi="Times New Roman"/>
      <w:color w:val="auto"/>
      <w:sz w:val="20"/>
      <w:szCs w:val="20"/>
    </w:rPr>
  </w:style>
  <w:style w:type="character" w:customStyle="1" w:styleId="TCCFiguraChar">
    <w:name w:val="TCC Figura Char"/>
    <w:basedOn w:val="Fontepargpadro"/>
    <w:link w:val="TCCFigura"/>
    <w:rsid w:val="00597B58"/>
    <w:rPr>
      <w:rFonts w:ascii="Times New Roman" w:eastAsiaTheme="minorHAnsi" w:hAnsi="Times New Roman"/>
      <w:b/>
      <w:bCs/>
      <w:lang w:eastAsia="en-US"/>
    </w:rPr>
  </w:style>
  <w:style w:type="character" w:customStyle="1" w:styleId="TabelaChar">
    <w:name w:val="Tabela Char"/>
    <w:basedOn w:val="Fontepargpadro"/>
    <w:link w:val="Tabela"/>
    <w:rsid w:val="00597B58"/>
    <w:rPr>
      <w:rFonts w:ascii="Times New Roman" w:eastAsiaTheme="minorHAnsi" w:hAnsi="Times New Roman"/>
      <w:b/>
      <w:bCs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597B58"/>
    <w:pPr>
      <w:spacing w:after="200"/>
    </w:pPr>
    <w:rPr>
      <w:b/>
      <w:bCs/>
      <w:color w:val="5B9BD5" w:themeColor="accent1"/>
      <w:sz w:val="18"/>
      <w:szCs w:val="18"/>
    </w:rPr>
  </w:style>
  <w:style w:type="character" w:customStyle="1" w:styleId="TCC1Char">
    <w:name w:val="TCC 1 Char"/>
    <w:basedOn w:val="Fontepargpadro"/>
    <w:link w:val="TCC1"/>
    <w:rsid w:val="00B14077"/>
    <w:rPr>
      <w:rFonts w:ascii="Times New Roman" w:eastAsiaTheme="minorHAnsi" w:hAnsi="Times New Roman"/>
      <w:b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14077"/>
    <w:rPr>
      <w:rFonts w:asciiTheme="minorHAnsi" w:eastAsiaTheme="minorHAnsi" w:hAnsiTheme="minorHAnsi" w:cstheme="minorBidi"/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14077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B14077"/>
    <w:rPr>
      <w:vertAlign w:val="superscript"/>
    </w:rPr>
  </w:style>
  <w:style w:type="paragraph" w:customStyle="1" w:styleId="Estilo1">
    <w:name w:val="Estilo1"/>
    <w:basedOn w:val="Normal"/>
    <w:qFormat/>
    <w:rsid w:val="00B14077"/>
    <w:pPr>
      <w:numPr>
        <w:ilvl w:val="2"/>
        <w:numId w:val="10"/>
      </w:numPr>
      <w:spacing w:before="360" w:after="320" w:line="360" w:lineRule="auto"/>
      <w:ind w:left="1921" w:hanging="505"/>
      <w:jc w:val="both"/>
      <w:outlineLvl w:val="2"/>
    </w:pPr>
    <w:rPr>
      <w:rFonts w:ascii="Times New Roman" w:eastAsia="Times New Roman" w:hAnsi="Times New Roman"/>
      <w:szCs w:val="24"/>
      <w:lang w:eastAsia="pt-BR"/>
    </w:rPr>
  </w:style>
  <w:style w:type="character" w:customStyle="1" w:styleId="TCC3Char">
    <w:name w:val="TCC 3 Char"/>
    <w:basedOn w:val="TCC2Char"/>
    <w:link w:val="TCC3"/>
    <w:rsid w:val="00B14077"/>
    <w:rPr>
      <w:rFonts w:ascii="Times New Roman" w:eastAsiaTheme="minorHAnsi" w:hAnsi="Times New Roman"/>
      <w:b/>
      <w:sz w:val="24"/>
      <w:szCs w:val="24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F636D"/>
    <w:rPr>
      <w:rFonts w:ascii="Calibri" w:eastAsia="Calibri" w:hAnsi="Calibri" w:cs="Arial"/>
      <w:sz w:val="22"/>
      <w:szCs w:val="22"/>
      <w:lang w:val="en-GB" w:eastAsia="en-US"/>
    </w:rPr>
  </w:style>
  <w:style w:type="paragraph" w:styleId="Bibliografia">
    <w:name w:val="Bibliography"/>
    <w:basedOn w:val="Normal"/>
    <w:next w:val="Normal"/>
    <w:uiPriority w:val="70"/>
    <w:rsid w:val="0003001C"/>
  </w:style>
  <w:style w:type="character" w:styleId="TextodoEspaoReservado">
    <w:name w:val="Placeholder Text"/>
    <w:basedOn w:val="Fontepargpadro"/>
    <w:uiPriority w:val="99"/>
    <w:unhideWhenUsed/>
    <w:rsid w:val="00304C8E"/>
    <w:rPr>
      <w:color w:val="808080"/>
    </w:rPr>
  </w:style>
  <w:style w:type="character" w:customStyle="1" w:styleId="apple-converted-space">
    <w:name w:val="apple-converted-space"/>
    <w:basedOn w:val="Fontepargpadro"/>
    <w:rsid w:val="00DF38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nw%20&amp;%20Yas\Downloads\yasminah@id.uff.br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mailto:celso@psr-inc.com" TargetMode="External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nw%20&amp;%20Yas\Downloads\martha@psr-inc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microsoft.com/office/2011/relationships/people" Target="people.xml"/><Relationship Id="rId10" Type="http://schemas.openxmlformats.org/officeDocument/2006/relationships/hyperlink" Target="file:///C:\Users\Anw%20&amp;%20Yas\Downloads\bernardo@psr-inc.com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file:///C:\Users\Anw%20&amp;%20Yas\Downloads\bborba@id.uff.br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artigopsr</b:Tag>
    <b:SourceType>ArticleInAPeriodical</b:SourceType>
    <b:Guid>{AEC5CC20-BCA1-4640-904E-91FAAA861875}</b:Guid>
    <b:Author>
      <b:Author>
        <b:Corporate>Bezerra B., Cunha G., Ávila P., Barroso L. A., Carvalho M., e Pereira M. V.</b:Corporate>
      </b:Author>
    </b:Author>
    <b:Title>Análise do percentual máximo para a inserção de energia eólica na matriz elétrica brasileira sob a ótica energética</b:Title>
    <b:Year>2013</b:Year>
    <b:City>Rio de Janeiro</b:City>
    <b:PeriodicalTitle>XXII SNPTEE</b:PeriodicalTitle>
    <b:Month>10</b:Month>
    <b:Pages>8</b:Pages>
    <b:RefOrder>2</b:RefOrder>
  </b:Source>
  <b:Source>
    <b:Tag>Ope15</b:Tag>
    <b:SourceType>InternetSite</b:SourceType>
    <b:Guid>{FD2EC768-710E-4854-A761-EE8582ADE3DA}</b:Guid>
    <b:Author>
      <b:Author>
        <b:Corporate>Operador Nacional do Sistema Elétrico</b:Corporate>
      </b:Author>
    </b:Author>
    <b:Year>2015</b:Year>
    <b:MonthAccessed>1</b:MonthAccessed>
    <b:DayAccessed>2016</b:DayAccessed>
    <b:URL>http://www.ons.org.br/operacao/apresentacoesPMO.aspx</b:URL>
    <b:RefOrder>3</b:RefOrder>
  </b:Source>
  <b:Source>
    <b:Tag>EPE15</b:Tag>
    <b:SourceType>Report</b:SourceType>
    <b:Guid>{902B611C-87B0-48AC-8273-EE3EE0E345F2}</b:Guid>
    <b:Author>
      <b:Author>
        <b:Corporate>EPE - Empresa de Pesquisa Energética</b:Corporate>
      </b:Author>
    </b:Author>
    <b:Title>Plano Decenal de Expansão de Energia - 2024</b:Title>
    <b:Year>2015</b:Year>
    <b:URL>http://www.epe.gov.br/PDEE/Relat%C3%B3rio%20Final%20do%20PDE%202024.pdf</b:URL>
    <b:City>Rio de Janeiro</b:City>
    <b:Pages>467</b:Pages>
    <b:RefOrder>4</b:RefOrder>
  </b:Source>
  <b:Source>
    <b:Tag>Már85</b:Tag>
    <b:SourceType>JournalArticle</b:SourceType>
    <b:Guid>{D499B95D-C062-4F6D-A22A-51C542BBF942}</b:Guid>
    <b:LCID>0</b:LCID>
    <b:Author>
      <b:Author>
        <b:Corporate>Pereira, M. V. F.; Pinto, L. M. V. G.</b:Corporate>
      </b:Author>
    </b:Author>
    <b:Title>Stochastic Optimization of Multireservoir Hydroelectric System – a Decomposition Approach</b:Title>
    <b:Year>1985</b:Year>
    <b:JournalName>Water Resource Research</b:JournalName>
    <b:Volume>21 nº 6</b:Volume>
    <b:RefOrder>1</b:RefOrder>
  </b:Source>
</b:Sources>
</file>

<file path=customXml/itemProps1.xml><?xml version="1.0" encoding="utf-8"?>
<ds:datastoreItem xmlns:ds="http://schemas.openxmlformats.org/officeDocument/2006/customXml" ds:itemID="{2E656031-2145-4511-A4EF-A167371A9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2920</Words>
  <Characters>15768</Characters>
  <Application>Microsoft Office Word</Application>
  <DocSecurity>0</DocSecurity>
  <Lines>131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</Company>
  <LinksUpToDate>false</LinksUpToDate>
  <CharactersWithSpaces>18651</CharactersWithSpaces>
  <SharedDoc>false</SharedDoc>
  <HLinks>
    <vt:vector size="12" baseType="variant">
      <vt:variant>
        <vt:i4>6619234</vt:i4>
      </vt:variant>
      <vt:variant>
        <vt:i4>2061</vt:i4>
      </vt:variant>
      <vt:variant>
        <vt:i4>1025</vt:i4>
      </vt:variant>
      <vt:variant>
        <vt:i4>1</vt:i4>
      </vt:variant>
      <vt:variant>
        <vt:lpwstr>cabeca</vt:lpwstr>
      </vt:variant>
      <vt:variant>
        <vt:lpwstr/>
      </vt:variant>
      <vt:variant>
        <vt:i4>7012454</vt:i4>
      </vt:variant>
      <vt:variant>
        <vt:i4>2064</vt:i4>
      </vt:variant>
      <vt:variant>
        <vt:i4>1026</vt:i4>
      </vt:variant>
      <vt:variant>
        <vt:i4>1</vt:i4>
      </vt:variant>
      <vt:variant>
        <vt:lpwstr>rodape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Ferreira</dc:creator>
  <cp:lastModifiedBy>Anw &amp; Yas</cp:lastModifiedBy>
  <cp:revision>7</cp:revision>
  <cp:lastPrinted>2015-03-04T15:02:00Z</cp:lastPrinted>
  <dcterms:created xsi:type="dcterms:W3CDTF">2016-05-24T12:36:00Z</dcterms:created>
  <dcterms:modified xsi:type="dcterms:W3CDTF">2016-05-24T13:58:00Z</dcterms:modified>
</cp:coreProperties>
</file>